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CE26F9" w:rsidRPr="007C0F27">
        <w:rPr>
          <w:rFonts w:cs="Times New Roman"/>
          <w:b/>
          <w:bCs/>
          <w:sz w:val="28"/>
          <w:szCs w:val="28"/>
        </w:rPr>
        <w:t>опущения таких нарушений за 202</w:t>
      </w:r>
      <w:r w:rsidR="009C1D4E">
        <w:rPr>
          <w:rFonts w:cs="Times New Roman"/>
          <w:b/>
          <w:bCs/>
          <w:sz w:val="28"/>
          <w:szCs w:val="28"/>
        </w:rPr>
        <w:t>3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EA0868"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9C1D4E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Программа профилактики правонарушений, осуществляемой органом муниципального контроля – администрацией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</w:t>
      </w:r>
      <w:r w:rsidRPr="007C0F27">
        <w:rPr>
          <w:rFonts w:cs="Times New Roman"/>
          <w:sz w:val="28"/>
          <w:szCs w:val="28"/>
        </w:rPr>
        <w:lastRenderedPageBreak/>
        <w:t>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риск-ориентированный подход при осуществлении муниципального контроля не применяется, проведение</w:t>
      </w:r>
      <w:r w:rsidR="009C1D4E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620A1F" w:rsidRDefault="00620A1F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B854A8">
        <w:rPr>
          <w:sz w:val="28"/>
          <w:szCs w:val="28"/>
        </w:rPr>
        <w:t>В 202</w:t>
      </w:r>
      <w:r w:rsidR="009C1D4E">
        <w:rPr>
          <w:sz w:val="28"/>
          <w:szCs w:val="28"/>
        </w:rPr>
        <w:t>3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>года №</w:t>
      </w:r>
      <w:r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9C1D4E">
        <w:rPr>
          <w:rFonts w:cs="Times New Roman"/>
          <w:bCs/>
          <w:sz w:val="28"/>
          <w:szCs w:val="28"/>
        </w:rPr>
        <w:t>3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9C1D4E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r w:rsidR="009C1D4E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</w:t>
      </w:r>
      <w:bookmarkStart w:id="0" w:name="_GoBack"/>
      <w:bookmarkEnd w:id="0"/>
      <w:r w:rsidRPr="007C0F27">
        <w:rPr>
          <w:rFonts w:cs="Times New Roman"/>
          <w:sz w:val="28"/>
          <w:szCs w:val="28"/>
        </w:rPr>
        <w:t>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1D4E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DF7"/>
  <w15:docId w15:val="{C3E8B7B5-C0F7-4042-B63F-340A1EE7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2023-02-17T05:37:00Z</cp:lastPrinted>
  <dcterms:created xsi:type="dcterms:W3CDTF">2020-04-23T10:28:00Z</dcterms:created>
  <dcterms:modified xsi:type="dcterms:W3CDTF">2024-02-05T04:13:00Z</dcterms:modified>
</cp:coreProperties>
</file>