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54" w:rsidRDefault="006E3D54" w:rsidP="006E3D54">
      <w:pPr>
        <w:pStyle w:val="a3"/>
        <w:tabs>
          <w:tab w:val="left" w:pos="-142"/>
          <w:tab w:val="left" w:pos="0"/>
          <w:tab w:val="left" w:pos="1843"/>
        </w:tabs>
        <w:jc w:val="center"/>
        <w:rPr>
          <w:sz w:val="40"/>
          <w:szCs w:val="40"/>
        </w:rPr>
      </w:pPr>
      <w:r w:rsidRPr="006E3D54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-167640</wp:posOffset>
            </wp:positionV>
            <wp:extent cx="742950" cy="800100"/>
            <wp:effectExtent l="19050" t="0" r="0" b="0"/>
            <wp:wrapTight wrapText="bothSides">
              <wp:wrapPolygon edited="0">
                <wp:start x="-551" y="0"/>
                <wp:lineTo x="-551" y="21119"/>
                <wp:lineTo x="21490" y="21119"/>
                <wp:lineTo x="21490" y="0"/>
                <wp:lineTo x="-551" y="0"/>
              </wp:wrapPolygon>
            </wp:wrapTight>
            <wp:docPr id="4" name="Рисунок 4" descr="Герб Тевриза (Go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Тевриза (Gold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232" t="8191" r="20706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D54" w:rsidRDefault="006E3D54" w:rsidP="006E3D54">
      <w:pPr>
        <w:pStyle w:val="a4"/>
        <w:widowControl/>
        <w:rPr>
          <w:sz w:val="40"/>
          <w:szCs w:val="40"/>
        </w:rPr>
      </w:pPr>
    </w:p>
    <w:p w:rsidR="006E3D54" w:rsidRDefault="006E3D54" w:rsidP="006E3D54">
      <w:pPr>
        <w:pStyle w:val="a4"/>
        <w:widowControl/>
        <w:jc w:val="left"/>
        <w:rPr>
          <w:sz w:val="40"/>
          <w:szCs w:val="40"/>
        </w:rPr>
      </w:pPr>
    </w:p>
    <w:p w:rsidR="006E3D54" w:rsidRPr="00FE7AED" w:rsidRDefault="006E3D54" w:rsidP="006E3D54">
      <w:pPr>
        <w:pStyle w:val="a4"/>
        <w:widowControl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Pr="00FE7AED">
        <w:rPr>
          <w:sz w:val="36"/>
          <w:szCs w:val="36"/>
        </w:rPr>
        <w:t xml:space="preserve">ТЕВРИЗСКОГО </w:t>
      </w:r>
    </w:p>
    <w:p w:rsidR="006E3D54" w:rsidRPr="00FE7AED" w:rsidRDefault="006E3D54" w:rsidP="006E3D54">
      <w:pPr>
        <w:pStyle w:val="a4"/>
        <w:widowControl/>
        <w:rPr>
          <w:szCs w:val="32"/>
        </w:rPr>
      </w:pPr>
      <w:r w:rsidRPr="00FE7AED">
        <w:rPr>
          <w:szCs w:val="32"/>
        </w:rPr>
        <w:t>МУНИЦИПАЛЬНОГО  РАЙОНА  ОМСКОЙ  ОБЛАСТИ</w:t>
      </w:r>
    </w:p>
    <w:p w:rsidR="006E3D54" w:rsidRPr="00B44805" w:rsidRDefault="006E3D54" w:rsidP="006E3D54">
      <w:pPr>
        <w:pStyle w:val="a3"/>
        <w:jc w:val="both"/>
        <w:rPr>
          <w:sz w:val="24"/>
        </w:rPr>
      </w:pPr>
    </w:p>
    <w:p w:rsidR="006E3D54" w:rsidRPr="00477AD0" w:rsidRDefault="006E3D54" w:rsidP="006E3D54">
      <w:pPr>
        <w:pStyle w:val="a3"/>
        <w:jc w:val="both"/>
        <w:rPr>
          <w:sz w:val="24"/>
        </w:rPr>
      </w:pPr>
    </w:p>
    <w:p w:rsidR="006E3D54" w:rsidRPr="00477AD0" w:rsidRDefault="006E3D54" w:rsidP="006E3D54">
      <w:pPr>
        <w:pStyle w:val="a3"/>
        <w:jc w:val="center"/>
        <w:rPr>
          <w:b/>
          <w:sz w:val="36"/>
          <w:szCs w:val="36"/>
        </w:rPr>
      </w:pPr>
      <w:r w:rsidRPr="00477AD0">
        <w:rPr>
          <w:b/>
          <w:sz w:val="36"/>
          <w:szCs w:val="36"/>
        </w:rPr>
        <w:t>ПОСТАНОВЛЕНИЕ</w:t>
      </w:r>
    </w:p>
    <w:p w:rsidR="006E3D54" w:rsidRDefault="006E3D54" w:rsidP="006E3D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«20» августа</w:t>
      </w:r>
      <w:r w:rsidRPr="006F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Pr="006F4B79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              </w:t>
      </w:r>
      <w:r w:rsidRPr="006F4B79">
        <w:rPr>
          <w:sz w:val="28"/>
          <w:szCs w:val="28"/>
        </w:rPr>
        <w:t xml:space="preserve">                                         № </w:t>
      </w:r>
      <w:r w:rsidR="00705032">
        <w:rPr>
          <w:sz w:val="28"/>
          <w:szCs w:val="28"/>
        </w:rPr>
        <w:t>209</w:t>
      </w:r>
      <w:r w:rsidRPr="006F4B79">
        <w:rPr>
          <w:sz w:val="28"/>
          <w:szCs w:val="28"/>
        </w:rPr>
        <w:t xml:space="preserve">-п </w:t>
      </w:r>
    </w:p>
    <w:p w:rsidR="006E3D54" w:rsidRDefault="006E3D54" w:rsidP="006E3D54">
      <w:pPr>
        <w:pStyle w:val="a3"/>
        <w:jc w:val="both"/>
        <w:rPr>
          <w:sz w:val="28"/>
          <w:szCs w:val="28"/>
        </w:rPr>
      </w:pPr>
    </w:p>
    <w:p w:rsidR="00255819" w:rsidRDefault="00255819" w:rsidP="00255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255819" w:rsidRDefault="00255819" w:rsidP="00255819">
      <w:pPr>
        <w:pStyle w:val="a3"/>
        <w:jc w:val="center"/>
        <w:rPr>
          <w:sz w:val="28"/>
          <w:szCs w:val="28"/>
        </w:rPr>
      </w:pPr>
      <w:r w:rsidRPr="00474EED">
        <w:rPr>
          <w:sz w:val="28"/>
          <w:szCs w:val="28"/>
        </w:rPr>
        <w:t>о требованиях к размещению и наполнению разделов, посвященных вопросам противодействия коррупции, официального сайта</w:t>
      </w:r>
    </w:p>
    <w:p w:rsidR="00255819" w:rsidRDefault="00255819" w:rsidP="00255819">
      <w:pPr>
        <w:pStyle w:val="a3"/>
        <w:jc w:val="center"/>
        <w:rPr>
          <w:sz w:val="28"/>
          <w:szCs w:val="28"/>
        </w:rPr>
      </w:pPr>
      <w:r w:rsidRPr="00474EED">
        <w:rPr>
          <w:sz w:val="28"/>
          <w:szCs w:val="28"/>
        </w:rPr>
        <w:t xml:space="preserve"> Тевризского муниципального района</w:t>
      </w:r>
    </w:p>
    <w:p w:rsidR="00255819" w:rsidRDefault="00255819" w:rsidP="00255819">
      <w:pPr>
        <w:pStyle w:val="a3"/>
        <w:jc w:val="center"/>
        <w:rPr>
          <w:sz w:val="28"/>
          <w:szCs w:val="28"/>
        </w:rPr>
      </w:pPr>
    </w:p>
    <w:p w:rsidR="006E3D54" w:rsidRPr="00255819" w:rsidRDefault="006E3D54" w:rsidP="00255819">
      <w:pPr>
        <w:ind w:firstLine="72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74EED">
        <w:rPr>
          <w:rFonts w:ascii="Times New Roman" w:hAnsi="Times New Roman" w:cs="Times New Roman"/>
          <w:sz w:val="28"/>
          <w:szCs w:val="28"/>
        </w:rPr>
        <w:t xml:space="preserve">целях противодействия коррупции, реализации </w:t>
      </w:r>
      <w:hyperlink r:id="rId5" w:history="1">
        <w:r w:rsidRPr="00474EED">
          <w:rPr>
            <w:rStyle w:val="a7"/>
            <w:rFonts w:ascii="Times New Roman" w:hAnsi="Times New Roman" w:cs="Times New Roman"/>
            <w:sz w:val="28"/>
            <w:szCs w:val="28"/>
          </w:rPr>
          <w:t>Указа</w:t>
        </w:r>
      </w:hyperlink>
      <w:r w:rsidRPr="00474EED">
        <w:rPr>
          <w:rFonts w:ascii="Times New Roman" w:hAnsi="Times New Roman" w:cs="Times New Roman"/>
          <w:sz w:val="28"/>
          <w:szCs w:val="28"/>
        </w:rPr>
        <w:t xml:space="preserve"> Губернатора Омской области от 20 октября 2009 года № 129 «Об утверждении Порядка размещения и представления сведений о доходах, расходах, об имуществе и обязательствах имущественного характера лиц, замещающих государственные должности Омской области, государственных гражданских служащих Омской области, их супругов и несовершеннолетних детей», а также обеспечения единого подхода к размещению и наполнению разделов официальных сайтов органов исполнительной власти Омской области по вопросам противодействия коррупции, руководствуясь Федеральным законом от 06.10.2003 года N 131-ФЗ "Об общих принципах организации местного самоуправления в Российской Федерации", Уставом Тевризского муниципального района Омской области, постановляю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:</w:t>
      </w:r>
    </w:p>
    <w:p w:rsidR="006E3D54" w:rsidRPr="006E3D54" w:rsidRDefault="006E3D54" w:rsidP="006E3D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4EE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anchor="Par26" w:history="1">
        <w:r w:rsidRPr="00474EED">
          <w:rPr>
            <w:rStyle w:val="a7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74EED">
        <w:rPr>
          <w:rFonts w:ascii="Times New Roman" w:hAnsi="Times New Roman" w:cs="Times New Roman"/>
          <w:sz w:val="28"/>
          <w:szCs w:val="28"/>
        </w:rPr>
        <w:t xml:space="preserve"> о требованиях к размещению и наполнению разделов, посвященных вопросам противодействия коррупции, официального сайта Тевризского муниципального района согласно приложению.</w:t>
      </w:r>
    </w:p>
    <w:p w:rsidR="006E3D54" w:rsidRPr="00474EED" w:rsidRDefault="006E3D54" w:rsidP="006E3D54">
      <w:pPr>
        <w:pStyle w:val="Default"/>
        <w:ind w:firstLine="720"/>
        <w:jc w:val="both"/>
        <w:rPr>
          <w:sz w:val="28"/>
          <w:szCs w:val="28"/>
        </w:rPr>
      </w:pPr>
      <w:r w:rsidRPr="00474EED">
        <w:rPr>
          <w:sz w:val="28"/>
          <w:szCs w:val="28"/>
        </w:rPr>
        <w:t xml:space="preserve">2.Разместить настоящее Постановление на официальном сайте Администрации Тевризского муниципального района Омской области в сети Интернет. </w:t>
      </w:r>
    </w:p>
    <w:p w:rsidR="006E3D54" w:rsidRPr="00474EED" w:rsidRDefault="006E3D54" w:rsidP="006E3D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3D54" w:rsidRPr="006E3D54" w:rsidRDefault="006E3D54" w:rsidP="006E3D5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D54">
        <w:rPr>
          <w:rFonts w:ascii="Times New Roman" w:hAnsi="Times New Roman" w:cs="Times New Roman"/>
          <w:bCs/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:rsidR="006E3D54" w:rsidRPr="006E3D54" w:rsidRDefault="006E3D54" w:rsidP="0025581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D54" w:rsidRPr="006E3D54" w:rsidRDefault="006E3D54" w:rsidP="006E3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D54">
        <w:rPr>
          <w:rFonts w:ascii="Times New Roman" w:hAnsi="Times New Roman" w:cs="Times New Roman"/>
          <w:sz w:val="28"/>
          <w:szCs w:val="28"/>
        </w:rPr>
        <w:t xml:space="preserve">Глава Тевризского муниципального района </w:t>
      </w:r>
    </w:p>
    <w:p w:rsidR="006E3D54" w:rsidRPr="006E3D54" w:rsidRDefault="006E3D54" w:rsidP="006E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4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А.И.Чуланов</w:t>
      </w:r>
    </w:p>
    <w:p w:rsidR="006E3D54" w:rsidRDefault="006E3D54" w:rsidP="006E3D54">
      <w:pPr>
        <w:rPr>
          <w:sz w:val="28"/>
          <w:szCs w:val="28"/>
        </w:rPr>
      </w:pPr>
    </w:p>
    <w:p w:rsidR="00A46D24" w:rsidRPr="00255819" w:rsidRDefault="006E3D54" w:rsidP="0025581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E3D54">
        <w:rPr>
          <w:rFonts w:ascii="Times New Roman" w:hAnsi="Times New Roman" w:cs="Times New Roman"/>
          <w:sz w:val="16"/>
          <w:szCs w:val="16"/>
        </w:rPr>
        <w:t>Исп.Ешуков</w:t>
      </w:r>
      <w:proofErr w:type="spellEnd"/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Приложение</w:t>
      </w:r>
    </w:p>
    <w:p w:rsidR="00A46D24" w:rsidRPr="00AA75A1" w:rsidRDefault="00AA75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75A1" w:rsidRPr="00AA75A1" w:rsidRDefault="00AA75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AA75A1" w:rsidRPr="00AA75A1" w:rsidRDefault="00AA75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от </w:t>
      </w:r>
      <w:r w:rsidR="00655D99">
        <w:rPr>
          <w:rFonts w:ascii="Times New Roman" w:hAnsi="Times New Roman" w:cs="Times New Roman"/>
          <w:sz w:val="28"/>
          <w:szCs w:val="28"/>
        </w:rPr>
        <w:t>20</w:t>
      </w:r>
      <w:r w:rsidRPr="00AA75A1">
        <w:rPr>
          <w:rFonts w:ascii="Times New Roman" w:hAnsi="Times New Roman" w:cs="Times New Roman"/>
          <w:sz w:val="28"/>
          <w:szCs w:val="28"/>
        </w:rPr>
        <w:t xml:space="preserve"> </w:t>
      </w:r>
      <w:r w:rsidR="00AA75A1" w:rsidRPr="00AA75A1">
        <w:rPr>
          <w:rFonts w:ascii="Times New Roman" w:hAnsi="Times New Roman" w:cs="Times New Roman"/>
          <w:sz w:val="28"/>
          <w:szCs w:val="28"/>
        </w:rPr>
        <w:t>августа</w:t>
      </w:r>
      <w:r w:rsidRPr="00AA75A1">
        <w:rPr>
          <w:rFonts w:ascii="Times New Roman" w:hAnsi="Times New Roman" w:cs="Times New Roman"/>
          <w:sz w:val="28"/>
          <w:szCs w:val="28"/>
        </w:rPr>
        <w:t xml:space="preserve"> 20</w:t>
      </w:r>
      <w:r w:rsidR="00AA75A1" w:rsidRPr="00AA75A1">
        <w:rPr>
          <w:rFonts w:ascii="Times New Roman" w:hAnsi="Times New Roman" w:cs="Times New Roman"/>
          <w:sz w:val="28"/>
          <w:szCs w:val="28"/>
        </w:rPr>
        <w:t>20</w:t>
      </w:r>
      <w:r w:rsidRPr="00AA75A1">
        <w:rPr>
          <w:rFonts w:ascii="Times New Roman" w:hAnsi="Times New Roman" w:cs="Times New Roman"/>
          <w:sz w:val="28"/>
          <w:szCs w:val="28"/>
        </w:rPr>
        <w:t xml:space="preserve"> г. N </w:t>
      </w:r>
      <w:r w:rsidR="00CA3C6B">
        <w:rPr>
          <w:rFonts w:ascii="Times New Roman" w:hAnsi="Times New Roman" w:cs="Times New Roman"/>
          <w:sz w:val="28"/>
          <w:szCs w:val="28"/>
        </w:rPr>
        <w:t>209</w:t>
      </w:r>
      <w:r w:rsidR="00AA75A1" w:rsidRPr="00AA75A1">
        <w:rPr>
          <w:rFonts w:ascii="Times New Roman" w:hAnsi="Times New Roman" w:cs="Times New Roman"/>
          <w:sz w:val="28"/>
          <w:szCs w:val="28"/>
        </w:rPr>
        <w:t>-п</w:t>
      </w:r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4735" w:rsidRDefault="000F4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A46D24" w:rsidRPr="000F4735" w:rsidRDefault="00A46D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473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46D24" w:rsidRPr="000F4735" w:rsidRDefault="00A46D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4735">
        <w:rPr>
          <w:rFonts w:ascii="Times New Roman" w:hAnsi="Times New Roman" w:cs="Times New Roman"/>
          <w:b w:val="0"/>
          <w:sz w:val="28"/>
          <w:szCs w:val="28"/>
        </w:rPr>
        <w:t>о требованиях к размещению и наполнению разделов,</w:t>
      </w:r>
    </w:p>
    <w:p w:rsidR="00A46D24" w:rsidRPr="000F4735" w:rsidRDefault="00A46D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4735">
        <w:rPr>
          <w:rFonts w:ascii="Times New Roman" w:hAnsi="Times New Roman" w:cs="Times New Roman"/>
          <w:b w:val="0"/>
          <w:sz w:val="28"/>
          <w:szCs w:val="28"/>
        </w:rPr>
        <w:t>посвященных вопросам противодействия коррупции, официальн</w:t>
      </w:r>
      <w:r w:rsidR="000F4735">
        <w:rPr>
          <w:rFonts w:ascii="Times New Roman" w:hAnsi="Times New Roman" w:cs="Times New Roman"/>
          <w:b w:val="0"/>
          <w:sz w:val="28"/>
          <w:szCs w:val="28"/>
        </w:rPr>
        <w:t>ого</w:t>
      </w:r>
    </w:p>
    <w:p w:rsidR="00A46D24" w:rsidRPr="000F4735" w:rsidRDefault="00A46D24" w:rsidP="000F47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4735">
        <w:rPr>
          <w:rFonts w:ascii="Times New Roman" w:hAnsi="Times New Roman" w:cs="Times New Roman"/>
          <w:b w:val="0"/>
          <w:sz w:val="28"/>
          <w:szCs w:val="28"/>
        </w:rPr>
        <w:t>сайт</w:t>
      </w:r>
      <w:r w:rsidR="000F473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47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4735">
        <w:rPr>
          <w:rFonts w:ascii="Times New Roman" w:hAnsi="Times New Roman" w:cs="Times New Roman"/>
          <w:b w:val="0"/>
          <w:sz w:val="28"/>
          <w:szCs w:val="28"/>
        </w:rPr>
        <w:t>Тевризского муниципального района Омской области</w:t>
      </w:r>
    </w:p>
    <w:p w:rsidR="00A46D24" w:rsidRPr="00AA75A1" w:rsidRDefault="00A46D2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1. На главной странице официальн</w:t>
      </w:r>
      <w:r w:rsidR="0027085D">
        <w:rPr>
          <w:rFonts w:ascii="Times New Roman" w:hAnsi="Times New Roman" w:cs="Times New Roman"/>
          <w:sz w:val="28"/>
          <w:szCs w:val="28"/>
        </w:rPr>
        <w:t>ого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сайт</w:t>
      </w:r>
      <w:r w:rsidR="0027085D">
        <w:rPr>
          <w:rFonts w:ascii="Times New Roman" w:hAnsi="Times New Roman" w:cs="Times New Roman"/>
          <w:sz w:val="28"/>
          <w:szCs w:val="28"/>
        </w:rPr>
        <w:t>а Тевризского муниципального района Омской области</w:t>
      </w:r>
      <w:r w:rsidRPr="00AA75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сайт) размещается отдельная гиперссылка на раздел с наименованием "Противодей</w:t>
      </w:r>
      <w:bookmarkStart w:id="1" w:name="_GoBack"/>
      <w:bookmarkEnd w:id="1"/>
      <w:r w:rsidRPr="00AA75A1">
        <w:rPr>
          <w:rFonts w:ascii="Times New Roman" w:hAnsi="Times New Roman" w:cs="Times New Roman"/>
          <w:sz w:val="28"/>
          <w:szCs w:val="28"/>
        </w:rPr>
        <w:t>ствие коррупции". Размещение указанной гиперссылки во всплывающих окнах не допускается.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2. Доступ в раздел "Противодействие коррупции" осуществляется с главной страницы сайт</w:t>
      </w:r>
      <w:r w:rsidR="00392CB0">
        <w:rPr>
          <w:rFonts w:ascii="Times New Roman" w:hAnsi="Times New Roman" w:cs="Times New Roman"/>
          <w:sz w:val="28"/>
          <w:szCs w:val="28"/>
        </w:rPr>
        <w:t>а</w:t>
      </w:r>
      <w:r w:rsidRPr="00AA75A1">
        <w:rPr>
          <w:rFonts w:ascii="Times New Roman" w:hAnsi="Times New Roman" w:cs="Times New Roman"/>
          <w:sz w:val="28"/>
          <w:szCs w:val="28"/>
        </w:rPr>
        <w:t xml:space="preserve">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3. В разделе "Противодействие коррупции" сайта </w:t>
      </w:r>
      <w:r w:rsidR="00392CB0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="00392CB0" w:rsidRPr="00AA75A1">
        <w:rPr>
          <w:rFonts w:ascii="Times New Roman" w:hAnsi="Times New Roman" w:cs="Times New Roman"/>
          <w:sz w:val="28"/>
          <w:szCs w:val="28"/>
        </w:rPr>
        <w:t xml:space="preserve"> </w:t>
      </w:r>
      <w:r w:rsidRPr="00AA75A1">
        <w:rPr>
          <w:rFonts w:ascii="Times New Roman" w:hAnsi="Times New Roman" w:cs="Times New Roman"/>
          <w:sz w:val="28"/>
          <w:szCs w:val="28"/>
        </w:rPr>
        <w:t>содержатся последовательные ссылки на следующие подразделы: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"Правовые акты в сфере противодействия коррупции";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"Антикоррупционная экспертиза";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"Методические материалы";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"Формы документов, связанных с противодействием коррупции, для заполнения";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"Сведения о доходах, расходах, об имуществе и обязательствах имущественного характера";</w:t>
      </w:r>
    </w:p>
    <w:p w:rsidR="00A46D24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"Комиссия по координации работы по противодействию коррупции";</w:t>
      </w:r>
    </w:p>
    <w:p w:rsidR="008E2EAF" w:rsidRPr="00AA75A1" w:rsidRDefault="008E2E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"Комиссия по соблюдению требований к служебному поведению и урегулированию конфликта интересов"</w:t>
      </w:r>
      <w:r w:rsidR="004E4C20">
        <w:rPr>
          <w:rFonts w:ascii="Times New Roman" w:hAnsi="Times New Roman" w:cs="Times New Roman"/>
          <w:sz w:val="28"/>
          <w:szCs w:val="28"/>
        </w:rPr>
        <w:t>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"Как сообщить о фактах коррупции"</w:t>
      </w:r>
      <w:r w:rsidR="00B145AE">
        <w:rPr>
          <w:rFonts w:ascii="Times New Roman" w:hAnsi="Times New Roman" w:cs="Times New Roman"/>
          <w:sz w:val="28"/>
          <w:szCs w:val="28"/>
        </w:rPr>
        <w:t>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4. Раздел "Противодействие коррупции" сайт</w:t>
      </w:r>
      <w:r w:rsidR="00474484">
        <w:rPr>
          <w:rFonts w:ascii="Times New Roman" w:hAnsi="Times New Roman" w:cs="Times New Roman"/>
          <w:sz w:val="28"/>
          <w:szCs w:val="28"/>
        </w:rPr>
        <w:t>а</w:t>
      </w:r>
      <w:r w:rsidRPr="00AA75A1">
        <w:rPr>
          <w:rFonts w:ascii="Times New Roman" w:hAnsi="Times New Roman" w:cs="Times New Roman"/>
          <w:sz w:val="28"/>
          <w:szCs w:val="28"/>
        </w:rPr>
        <w:t xml:space="preserve"> может содержать иные подразделы, в которых размещаются доклады, отчеты, обзоры, статистическая </w:t>
      </w:r>
      <w:r w:rsidRPr="00AA75A1">
        <w:rPr>
          <w:rFonts w:ascii="Times New Roman" w:hAnsi="Times New Roman" w:cs="Times New Roman"/>
          <w:sz w:val="28"/>
          <w:szCs w:val="28"/>
        </w:rPr>
        <w:lastRenderedPageBreak/>
        <w:t>информация по вопросам противодействия коррупции, часто задаваемые вопросы и ответы на них.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5. Подраздел "Правовые акты в сфере противодействия коррупции" сайта </w:t>
      </w:r>
      <w:r w:rsidR="0047448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</w:t>
      </w:r>
      <w:r w:rsidR="00474484" w:rsidRPr="00AA75A1">
        <w:rPr>
          <w:rFonts w:ascii="Times New Roman" w:hAnsi="Times New Roman" w:cs="Times New Roman"/>
          <w:sz w:val="28"/>
          <w:szCs w:val="28"/>
        </w:rPr>
        <w:t xml:space="preserve"> </w:t>
      </w:r>
      <w:r w:rsidRPr="00AA75A1">
        <w:rPr>
          <w:rFonts w:ascii="Times New Roman" w:hAnsi="Times New Roman" w:cs="Times New Roman"/>
          <w:sz w:val="28"/>
          <w:szCs w:val="28"/>
        </w:rPr>
        <w:t>содержит 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Омской области, указов Губернатора Омской области, постановлений Правительства Омской области и иных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5.1. Подраздел "Правовые акты в сфере противодействия коррупции" сайта органа содержит: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1) 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Омской области, указов Губернатора Омской области, постановлений Правительства Омской области и иных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AA75A1">
        <w:rPr>
          <w:rFonts w:ascii="Times New Roman" w:hAnsi="Times New Roman" w:cs="Times New Roman"/>
          <w:sz w:val="28"/>
          <w:szCs w:val="28"/>
        </w:rPr>
        <w:t xml:space="preserve">2) список гиперссылок правовых актов </w:t>
      </w:r>
      <w:r w:rsidR="0047448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с приложением файлов, содержащих полный текст соответствующего акта, в том числе по утверждению: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- плана противодействия коррупции на очередной период;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- перечня коррупционно опасных функций органа </w:t>
      </w:r>
      <w:r w:rsidR="0047448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>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- перечня должностей </w:t>
      </w:r>
      <w:r w:rsidR="00474484">
        <w:rPr>
          <w:rFonts w:ascii="Times New Roman" w:hAnsi="Times New Roman" w:cs="Times New Roman"/>
          <w:sz w:val="28"/>
          <w:szCs w:val="28"/>
        </w:rPr>
        <w:t>муниципальной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службы, исполнение должностных обязанностей по которым предусматривает осуществление коррупционно опасных функций органа </w:t>
      </w:r>
      <w:r w:rsidR="0047448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 xml:space="preserve">, включенных в перечень коррупционно опасных функций органа </w:t>
      </w:r>
      <w:r w:rsidR="0047448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>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- перечня должностей </w:t>
      </w:r>
      <w:r w:rsidR="00474484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AA75A1">
        <w:rPr>
          <w:rFonts w:ascii="Times New Roman" w:hAnsi="Times New Roman" w:cs="Times New Roman"/>
          <w:sz w:val="28"/>
          <w:szCs w:val="28"/>
        </w:rPr>
        <w:t xml:space="preserve">, при замещении которых </w:t>
      </w:r>
      <w:r w:rsidR="009E57F4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AA75A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- перечня должностей </w:t>
      </w:r>
      <w:r w:rsidR="009E57F4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AA75A1">
        <w:rPr>
          <w:rFonts w:ascii="Times New Roman" w:hAnsi="Times New Roman" w:cs="Times New Roman"/>
          <w:sz w:val="28"/>
          <w:szCs w:val="28"/>
        </w:rPr>
        <w:t>, замещение которых влечет за собой размещение на сайте органа и предоставление для опубликования средствам массовой информации сведений о доходах, расходах, об имуществе и обязательствах имущественного характера;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- порядка сообщения лицами, замещающими должности </w:t>
      </w:r>
      <w:r w:rsidR="009E57F4">
        <w:rPr>
          <w:rFonts w:ascii="Times New Roman" w:hAnsi="Times New Roman" w:cs="Times New Roman"/>
          <w:sz w:val="28"/>
          <w:szCs w:val="28"/>
        </w:rPr>
        <w:t>муниципальной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службы,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lastRenderedPageBreak/>
        <w:t xml:space="preserve">- перечня должностей </w:t>
      </w:r>
      <w:r w:rsidR="009E57F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A75A1">
        <w:rPr>
          <w:rFonts w:ascii="Times New Roman" w:hAnsi="Times New Roman" w:cs="Times New Roman"/>
          <w:sz w:val="28"/>
          <w:szCs w:val="28"/>
        </w:rPr>
        <w:t xml:space="preserve">службы, предусмотренного </w:t>
      </w:r>
      <w:hyperlink r:id="rId7" w:history="1">
        <w:r w:rsidRPr="009E57F4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9E57F4">
        <w:rPr>
          <w:rFonts w:ascii="Times New Roman" w:hAnsi="Times New Roman" w:cs="Times New Roman"/>
          <w:sz w:val="28"/>
          <w:szCs w:val="28"/>
        </w:rPr>
        <w:t xml:space="preserve"> </w:t>
      </w:r>
      <w:r w:rsidRPr="00AA75A1">
        <w:rPr>
          <w:rFonts w:ascii="Times New Roman" w:hAnsi="Times New Roman" w:cs="Times New Roman"/>
          <w:sz w:val="28"/>
          <w:szCs w:val="28"/>
        </w:rPr>
        <w:t>Федерального закона "О противодействии коррупции";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- перечня должностей </w:t>
      </w:r>
      <w:r w:rsidR="003F0E80">
        <w:rPr>
          <w:rFonts w:ascii="Times New Roman" w:hAnsi="Times New Roman" w:cs="Times New Roman"/>
          <w:sz w:val="28"/>
          <w:szCs w:val="28"/>
        </w:rPr>
        <w:t>муниципальной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службы,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- положения о комиссии по соблюдению требований к служебному поведению и урегулированию конфликта интересов и ее состава;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- порядка уведомления представителя нанимателя о фактах обращения в целях склонения </w:t>
      </w:r>
      <w:r w:rsidR="00983B0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правонарушений.</w:t>
      </w:r>
    </w:p>
    <w:p w:rsidR="00A46D24" w:rsidRPr="00983B09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6. Правовые акты в сфере противодействия коррупции, указанные в </w:t>
      </w:r>
      <w:hyperlink w:anchor="P76" w:history="1">
        <w:r w:rsidRPr="00983B09">
          <w:rPr>
            <w:rFonts w:ascii="Times New Roman" w:hAnsi="Times New Roman" w:cs="Times New Roman"/>
            <w:sz w:val="28"/>
            <w:szCs w:val="28"/>
          </w:rPr>
          <w:t>подпункте 2 пункта 5.1</w:t>
        </w:r>
      </w:hyperlink>
      <w:r w:rsidRPr="00983B09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("гипертекстовый формат"). Правовые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Размещение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Правовые акты органа </w:t>
      </w:r>
      <w:r w:rsidR="00D1607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 xml:space="preserve"> области должны размещаться в действующей редакции.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7. Подраздел "Антикоррупционная экспертиза" сайтов содержит гиперссылку, перекрестную с гиперссылкой, при переходе по которой осуществляется доступ к разделу (подразделу), созданному для размещения информации о подготовке органом </w:t>
      </w:r>
      <w:r w:rsidR="0087710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и результатах их общественного обсуждения.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8. Подраздел "Методические материалы" сайт</w:t>
      </w:r>
      <w:r w:rsidR="00952877">
        <w:rPr>
          <w:rFonts w:ascii="Times New Roman" w:hAnsi="Times New Roman" w:cs="Times New Roman"/>
          <w:sz w:val="28"/>
          <w:szCs w:val="28"/>
        </w:rPr>
        <w:t>а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("гипертекстовый формат").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AA75A1">
        <w:rPr>
          <w:rFonts w:ascii="Times New Roman" w:hAnsi="Times New Roman" w:cs="Times New Roman"/>
          <w:sz w:val="28"/>
          <w:szCs w:val="28"/>
        </w:rPr>
        <w:lastRenderedPageBreak/>
        <w:t>9. Подраздел "Формы документов, связанных с противодействием коррупции, для заполнения" сайт</w:t>
      </w:r>
      <w:r w:rsidR="00204FE8">
        <w:rPr>
          <w:rFonts w:ascii="Times New Roman" w:hAnsi="Times New Roman" w:cs="Times New Roman"/>
          <w:sz w:val="28"/>
          <w:szCs w:val="28"/>
        </w:rPr>
        <w:t>а</w:t>
      </w:r>
      <w:r w:rsidRPr="00AA75A1">
        <w:rPr>
          <w:rFonts w:ascii="Times New Roman" w:hAnsi="Times New Roman" w:cs="Times New Roman"/>
          <w:sz w:val="28"/>
          <w:szCs w:val="28"/>
        </w:rPr>
        <w:t xml:space="preserve"> обеспечивает доступ к списку гиперссылок следующих форм обращений, уведомлений, заявлений, справок, заполняемых гражданами, лицами, замещающими </w:t>
      </w:r>
      <w:r w:rsidR="00C55215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AA75A1">
        <w:rPr>
          <w:rFonts w:ascii="Times New Roman" w:hAnsi="Times New Roman" w:cs="Times New Roman"/>
          <w:sz w:val="28"/>
          <w:szCs w:val="28"/>
        </w:rPr>
        <w:t xml:space="preserve">, </w:t>
      </w:r>
      <w:r w:rsidR="00C55215">
        <w:rPr>
          <w:rFonts w:ascii="Times New Roman" w:hAnsi="Times New Roman" w:cs="Times New Roman"/>
          <w:sz w:val="28"/>
          <w:szCs w:val="28"/>
        </w:rPr>
        <w:t>муниципальными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служащими в рамках реализации законодательства о противодействии коррупции: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1) обращение бывшего </w:t>
      </w:r>
      <w:r w:rsidR="00C552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2) уведомление представителя нанимателя о намерении выполнять иную оплачиваемую работу;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3) уведомление представителя нанимателя о фактах обращения в целях склонения гражданского служащего к совершению коррупционных правонарушений;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4) 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5) заявление </w:t>
      </w:r>
      <w:r w:rsidR="00C552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6) справка о доходах, расходах, об имуществе и обязательствах имущественного характера;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7) </w:t>
      </w:r>
      <w:hyperlink r:id="rId8" w:history="1">
        <w:r w:rsidRPr="00C5521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C55215">
        <w:rPr>
          <w:rFonts w:ascii="Times New Roman" w:hAnsi="Times New Roman" w:cs="Times New Roman"/>
          <w:sz w:val="28"/>
          <w:szCs w:val="28"/>
        </w:rPr>
        <w:t xml:space="preserve"> обо всех случаях получения подарка в связи с протокольными мер</w:t>
      </w:r>
      <w:r w:rsidRPr="00AA75A1">
        <w:rPr>
          <w:rFonts w:ascii="Times New Roman" w:hAnsi="Times New Roman" w:cs="Times New Roman"/>
          <w:sz w:val="28"/>
          <w:szCs w:val="28"/>
        </w:rPr>
        <w:t>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8) </w:t>
      </w:r>
      <w:hyperlink r:id="rId9" w:history="1">
        <w:r w:rsidRPr="00B173B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173B5">
        <w:rPr>
          <w:rFonts w:ascii="Times New Roman" w:hAnsi="Times New Roman" w:cs="Times New Roman"/>
          <w:sz w:val="28"/>
          <w:szCs w:val="28"/>
        </w:rPr>
        <w:t xml:space="preserve"> </w:t>
      </w:r>
      <w:r w:rsidRPr="00AA75A1">
        <w:rPr>
          <w:rFonts w:ascii="Times New Roman" w:hAnsi="Times New Roman" w:cs="Times New Roman"/>
          <w:sz w:val="28"/>
          <w:szCs w:val="28"/>
        </w:rPr>
        <w:t>о выкупе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9.1. Подраздел "Формы документов, связанных с противодействием коррупции, для заполнения" сайт</w:t>
      </w:r>
      <w:r w:rsidR="00EE1F64">
        <w:rPr>
          <w:rFonts w:ascii="Times New Roman" w:hAnsi="Times New Roman" w:cs="Times New Roman"/>
          <w:sz w:val="28"/>
          <w:szCs w:val="28"/>
        </w:rPr>
        <w:t>а</w:t>
      </w:r>
      <w:r w:rsidRPr="00AA75A1">
        <w:rPr>
          <w:rFonts w:ascii="Times New Roman" w:hAnsi="Times New Roman" w:cs="Times New Roman"/>
          <w:sz w:val="28"/>
          <w:szCs w:val="28"/>
        </w:rPr>
        <w:t xml:space="preserve"> также обеспечивает доступ к списку гиперссылок иных форм документов по вопросам противодействия коррупции, не </w:t>
      </w:r>
      <w:r w:rsidRPr="00EE1F6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99" w:history="1">
        <w:r w:rsidRPr="00EE1F6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AA75A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10.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lastRenderedPageBreak/>
        <w:t>11. Подраздел "Сведения о доходах, расходах, об имуществе и обязательствах имущественного характера" сайтов обеспечивает доступ к сведениям о доходах, расходах, об имуществе и обязательствах имущественного характера, представленным в соответствии с законодательством.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12. Сведения о доходах, расходах, об имуществе и обязательствах имущественного характера размещаются: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1) без ограничения доступа к ним третьих лиц;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2) по </w:t>
      </w:r>
      <w:hyperlink w:anchor="P175" w:history="1">
        <w:r w:rsidRPr="00EE1F6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A75A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13. Сведения о доходах, расходах, имуществе и обязательствах имущественного характера размещаются в одном (едином) файле в виде таблицы либо в виде файлов, сгруппированных по самостоятельным структурным подразделениям (</w:t>
      </w:r>
      <w:r w:rsidR="00EE1F64">
        <w:rPr>
          <w:rFonts w:ascii="Times New Roman" w:hAnsi="Times New Roman" w:cs="Times New Roman"/>
          <w:sz w:val="28"/>
          <w:szCs w:val="28"/>
        </w:rPr>
        <w:t>комитетам</w:t>
      </w:r>
      <w:r w:rsidRPr="00AA75A1">
        <w:rPr>
          <w:rFonts w:ascii="Times New Roman" w:hAnsi="Times New Roman" w:cs="Times New Roman"/>
          <w:sz w:val="28"/>
          <w:szCs w:val="28"/>
        </w:rPr>
        <w:t>, управлениям, отделам).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14. Не допускается в подразделе "Сведения о доходах, расходах, об имуществе и обязательствах имущественного характера":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1) размещение заархивированных сведений (формат .</w:t>
      </w:r>
      <w:proofErr w:type="spellStart"/>
      <w:r w:rsidRPr="00AA75A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A75A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AA75A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A75A1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2) размещение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3) использование форматов, требующих дополнительного распознавания;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4)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5) запрашивание фамилии и инициалов лица, замещающего </w:t>
      </w:r>
      <w:r w:rsidR="007C4838">
        <w:rPr>
          <w:rFonts w:ascii="Times New Roman" w:hAnsi="Times New Roman" w:cs="Times New Roman"/>
          <w:sz w:val="28"/>
          <w:szCs w:val="28"/>
        </w:rPr>
        <w:t>муниципальную</w:t>
      </w:r>
      <w:r w:rsidRPr="00AA75A1">
        <w:rPr>
          <w:rFonts w:ascii="Times New Roman" w:hAnsi="Times New Roman" w:cs="Times New Roman"/>
          <w:sz w:val="28"/>
          <w:szCs w:val="28"/>
        </w:rPr>
        <w:t xml:space="preserve"> должность, фамилии и инициалов </w:t>
      </w:r>
      <w:r w:rsidR="007C48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15. Сведения о доходах, расходах, об имуществе и обязательствах имущественного характера находятся в открытом доступе (размещены на сайт</w:t>
      </w:r>
      <w:r w:rsidR="003C6712">
        <w:rPr>
          <w:rFonts w:ascii="Times New Roman" w:hAnsi="Times New Roman" w:cs="Times New Roman"/>
          <w:sz w:val="28"/>
          <w:szCs w:val="28"/>
        </w:rPr>
        <w:t>е</w:t>
      </w:r>
      <w:r w:rsidRPr="00AA75A1">
        <w:rPr>
          <w:rFonts w:ascii="Times New Roman" w:hAnsi="Times New Roman" w:cs="Times New Roman"/>
          <w:sz w:val="28"/>
          <w:szCs w:val="28"/>
        </w:rPr>
        <w:t>) и обновляются в соответствии с федеральным</w:t>
      </w:r>
      <w:r w:rsidR="003C6712">
        <w:rPr>
          <w:rFonts w:ascii="Times New Roman" w:hAnsi="Times New Roman" w:cs="Times New Roman"/>
          <w:sz w:val="28"/>
          <w:szCs w:val="28"/>
        </w:rPr>
        <w:t>,</w:t>
      </w:r>
      <w:r w:rsidRPr="00AA75A1">
        <w:rPr>
          <w:rFonts w:ascii="Times New Roman" w:hAnsi="Times New Roman" w:cs="Times New Roman"/>
          <w:sz w:val="28"/>
          <w:szCs w:val="28"/>
        </w:rPr>
        <w:t xml:space="preserve"> областным законодательством</w:t>
      </w:r>
      <w:r w:rsidR="003C6712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AA75A1">
        <w:rPr>
          <w:rFonts w:ascii="Times New Roman" w:hAnsi="Times New Roman" w:cs="Times New Roman"/>
          <w:sz w:val="28"/>
          <w:szCs w:val="28"/>
        </w:rPr>
        <w:t>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16. В случае поступления, а также перевода лица, замещающего </w:t>
      </w:r>
      <w:r w:rsidR="00B00E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AA75A1">
        <w:rPr>
          <w:rFonts w:ascii="Times New Roman" w:hAnsi="Times New Roman" w:cs="Times New Roman"/>
          <w:sz w:val="28"/>
          <w:szCs w:val="28"/>
        </w:rPr>
        <w:t xml:space="preserve">, </w:t>
      </w:r>
      <w:r w:rsidR="00B00E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служащего в другой орган </w:t>
      </w:r>
      <w:r w:rsidR="00B00E1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сведения о его доходах, расходах, об имуществе и обязательствах имущественного характера, а также о доходах, расходах, об имуществе и </w:t>
      </w:r>
      <w:r w:rsidRPr="00AA75A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 членов его семьи за все предшествующие периоды, размещенные ранее, подлежат размещению в подразделе "Сведения о доходах, расходах, имуществе и обязательствах имущественного характера" сайта соответствующего органа </w:t>
      </w:r>
      <w:r w:rsidR="00B00E1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 xml:space="preserve">, в котором он замещает </w:t>
      </w:r>
      <w:r w:rsidR="00B00E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AA75A1">
        <w:rPr>
          <w:rFonts w:ascii="Times New Roman" w:hAnsi="Times New Roman" w:cs="Times New Roman"/>
          <w:sz w:val="28"/>
          <w:szCs w:val="28"/>
        </w:rPr>
        <w:t xml:space="preserve">, должность </w:t>
      </w:r>
      <w:r w:rsidR="00B00E1F">
        <w:rPr>
          <w:rFonts w:ascii="Times New Roman" w:hAnsi="Times New Roman" w:cs="Times New Roman"/>
          <w:sz w:val="28"/>
          <w:szCs w:val="28"/>
        </w:rPr>
        <w:t>муниципальной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3"/>
      <w:bookmarkEnd w:id="4"/>
      <w:r w:rsidRPr="00AA75A1">
        <w:rPr>
          <w:rFonts w:ascii="Times New Roman" w:hAnsi="Times New Roman" w:cs="Times New Roman"/>
          <w:sz w:val="28"/>
          <w:szCs w:val="28"/>
        </w:rPr>
        <w:t xml:space="preserve">16.1. Подраздел "Комиссия по координации работы по противодействию коррупции" сайта обеспечивает доступ к информации о деятельности комиссии по координации работы по противодействию коррупции в </w:t>
      </w:r>
      <w:r w:rsidR="00B00E1F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>, в том числе содержащей: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1) Положение о комиссии по координации работы по противодействию коррупции;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2) состав комиссии по координации работы по противодействию коррупции с указанием фамилии, имени, отчества, должности (для представителей научных и образовательных организаций, представителей общественных организаций - с указанием также и места работы);</w:t>
      </w:r>
    </w:p>
    <w:p w:rsidR="00A46D24" w:rsidRPr="00AA75A1" w:rsidRDefault="00F678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6D24" w:rsidRPr="00AA75A1">
        <w:rPr>
          <w:rFonts w:ascii="Times New Roman" w:hAnsi="Times New Roman" w:cs="Times New Roman"/>
          <w:sz w:val="28"/>
          <w:szCs w:val="28"/>
        </w:rPr>
        <w:t>) план работы комиссии по координации работы по противодействию коррупции на очередной период;</w:t>
      </w:r>
    </w:p>
    <w:p w:rsidR="00A46D24" w:rsidRPr="00AA75A1" w:rsidRDefault="00F678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6D24" w:rsidRPr="00AA75A1">
        <w:rPr>
          <w:rFonts w:ascii="Times New Roman" w:hAnsi="Times New Roman" w:cs="Times New Roman"/>
          <w:sz w:val="28"/>
          <w:szCs w:val="28"/>
        </w:rPr>
        <w:t>) информацию о решениях комиссии по координации работы по противодействию коррупции (полностью или в какой-либо части) при условии обязательного обезличивания персональных данных в соответствии с законодательством.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1"/>
      <w:bookmarkEnd w:id="5"/>
      <w:r w:rsidRPr="00AA75A1">
        <w:rPr>
          <w:rFonts w:ascii="Times New Roman" w:hAnsi="Times New Roman" w:cs="Times New Roman"/>
          <w:sz w:val="28"/>
          <w:szCs w:val="28"/>
        </w:rPr>
        <w:t xml:space="preserve">17. Подраздел "Комиссия по соблюдению требований к служебному поведению и урегулированию конфликта интересов" сайта обеспечивает доступ к информации о деятельности комиссии по соблюдению требований к служебному поведению и урегулированию конфликта интересов, образованной в органе </w:t>
      </w:r>
      <w:r w:rsidR="00D3333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 xml:space="preserve"> (далее в настоящем пункте - комиссия), в том числе содержащей: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организаций, осуществляющих образовательную деятельность, - с указанием также и места работы);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2) положение о комиссии;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3) сведения о планируемом проведении заседания комиссии (повестка, дата), о состоявшемся заседании комиссии, принятых решениях;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4) порядок подачи заявлений для рассмотрения на комиссии.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18. Сведения о составах комиссий, предусмотренных </w:t>
      </w:r>
      <w:hyperlink w:anchor="P133" w:history="1">
        <w:r w:rsidRPr="00D33335">
          <w:rPr>
            <w:rFonts w:ascii="Times New Roman" w:hAnsi="Times New Roman" w:cs="Times New Roman"/>
            <w:sz w:val="28"/>
            <w:szCs w:val="28"/>
          </w:rPr>
          <w:t>пунктами 16.1</w:t>
        </w:r>
      </w:hyperlink>
      <w:r w:rsidRPr="00D3333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 w:history="1">
        <w:r w:rsidRPr="00D33335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D33335">
        <w:rPr>
          <w:rFonts w:ascii="Times New Roman" w:hAnsi="Times New Roman" w:cs="Times New Roman"/>
          <w:sz w:val="28"/>
          <w:szCs w:val="28"/>
        </w:rPr>
        <w:t xml:space="preserve"> </w:t>
      </w:r>
      <w:r w:rsidRPr="00AA75A1">
        <w:rPr>
          <w:rFonts w:ascii="Times New Roman" w:hAnsi="Times New Roman" w:cs="Times New Roman"/>
          <w:sz w:val="28"/>
          <w:szCs w:val="28"/>
        </w:rPr>
        <w:t xml:space="preserve">настоящего Положения, должны размещаться в виде приложенного файла в </w:t>
      </w:r>
      <w:r w:rsidRPr="00AA75A1">
        <w:rPr>
          <w:rFonts w:ascii="Times New Roman" w:hAnsi="Times New Roman" w:cs="Times New Roman"/>
          <w:sz w:val="28"/>
          <w:szCs w:val="28"/>
        </w:rPr>
        <w:lastRenderedPageBreak/>
        <w:t>одном или нескольких из следующих форматов: .DOC, .DOCX, .RTF, .PDF.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19. В подразделе "Комиссия по соблюдению требований к служебному поведению и урегулированию конфликта интересов" сайта при размещении информации о принятых комиссией решениях указываются: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1) основание для проведения заседания комиссии;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2) принятое комиссией решение, в том числе ключевые детали рассмотренного комиссией вопроса.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Опубликование информации о решениях комиссии осуществляется при условии обязательного обезличивания персональных данных в соответствии с законодательством, например, с указанием замещаемой гражданским служащим должности гражданской службы, но без указания фамилии и инициалов, структурного подразделения органа </w:t>
      </w:r>
      <w:r w:rsidR="008E2E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75A1">
        <w:rPr>
          <w:rFonts w:ascii="Times New Roman" w:hAnsi="Times New Roman" w:cs="Times New Roman"/>
          <w:sz w:val="28"/>
          <w:szCs w:val="28"/>
        </w:rPr>
        <w:t>.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20. Подраздел "Как сообщить о фактах коррупции" сайт</w:t>
      </w:r>
      <w:r w:rsidR="008E2EAF">
        <w:rPr>
          <w:rFonts w:ascii="Times New Roman" w:hAnsi="Times New Roman" w:cs="Times New Roman"/>
          <w:sz w:val="28"/>
          <w:szCs w:val="28"/>
        </w:rPr>
        <w:t>а</w:t>
      </w:r>
      <w:r w:rsidRPr="00AA75A1">
        <w:rPr>
          <w:rFonts w:ascii="Times New Roman" w:hAnsi="Times New Roman" w:cs="Times New Roman"/>
          <w:sz w:val="28"/>
          <w:szCs w:val="28"/>
        </w:rPr>
        <w:t xml:space="preserve"> содержит гиперссылку, перекрестную с гиперссылкой, при переходе по которой осуществляется доступ к подразделу "Обращения граждан", включающему в том числе информацию о: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1) нормативных правовых актах, регламентирующих порядок рассмотрения обращений граждан;</w:t>
      </w:r>
    </w:p>
    <w:p w:rsidR="00A46D24" w:rsidRPr="00AA75A1" w:rsidRDefault="00A46D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2) способах для граждан, организаций, общественных объединений беспрепятственно направлять свои обращения в </w:t>
      </w:r>
      <w:r w:rsidR="008E2EAF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AA75A1">
        <w:rPr>
          <w:rFonts w:ascii="Times New Roman" w:hAnsi="Times New Roman" w:cs="Times New Roman"/>
          <w:sz w:val="28"/>
          <w:szCs w:val="28"/>
        </w:rPr>
        <w:t>(информация о работе "горячей линии", "телефона доверия", отправке почтовых сообщений, форма направления сообщений гражданами и организациями через сайт).</w:t>
      </w:r>
    </w:p>
    <w:p w:rsidR="00A46D24" w:rsidRPr="00AA75A1" w:rsidRDefault="00A4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_______________</w:t>
      </w:r>
    </w:p>
    <w:p w:rsidR="00A46D24" w:rsidRPr="00AA75A1" w:rsidRDefault="00A4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4" w:rsidRDefault="00A4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0FE" w:rsidRDefault="00E84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0FE" w:rsidRDefault="00E84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0FE" w:rsidRDefault="00E84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0FE" w:rsidRDefault="00E84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0FE" w:rsidRDefault="00E84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0FE" w:rsidRDefault="00E84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0FE" w:rsidRDefault="00E84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0FE" w:rsidRDefault="00E84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E2B" w:rsidRDefault="001B6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E2B" w:rsidRDefault="001B6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0FE" w:rsidRDefault="00E84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0FE" w:rsidRPr="00AA75A1" w:rsidRDefault="00E84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к Положению о требованиях к размещению</w:t>
      </w:r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и наполнению разделов, посвященных вопросам</w:t>
      </w:r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противодействия коррупции, официальных сайтов</w:t>
      </w:r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Правительства Омской области, иных органов</w:t>
      </w:r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>исполнительной власти Омской области</w:t>
      </w:r>
    </w:p>
    <w:p w:rsidR="00A46D24" w:rsidRPr="00AA75A1" w:rsidRDefault="00A46D2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5"/>
      <w:bookmarkEnd w:id="6"/>
      <w:r w:rsidRPr="00AA75A1">
        <w:rPr>
          <w:rFonts w:ascii="Times New Roman" w:hAnsi="Times New Roman" w:cs="Times New Roman"/>
          <w:sz w:val="28"/>
          <w:szCs w:val="28"/>
        </w:rPr>
        <w:t xml:space="preserve">                                   ФОРМА</w:t>
      </w:r>
    </w:p>
    <w:p w:rsidR="00A46D24" w:rsidRPr="00AA75A1" w:rsidRDefault="00A4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         для размещения сведений о доходах, расходах, об имуществе</w:t>
      </w:r>
    </w:p>
    <w:p w:rsidR="00A46D24" w:rsidRPr="00AA75A1" w:rsidRDefault="00A4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         и обязательствах имущественного характера лиц, замещающих</w:t>
      </w:r>
    </w:p>
    <w:p w:rsidR="00A46D24" w:rsidRPr="00AA75A1" w:rsidRDefault="00A4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________________________________________________________,</w:t>
      </w:r>
    </w:p>
    <w:p w:rsidR="00A46D24" w:rsidRPr="00AA75A1" w:rsidRDefault="00A4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                   (указывается наименование должностей)</w:t>
      </w:r>
    </w:p>
    <w:p w:rsidR="00A46D24" w:rsidRPr="00AA75A1" w:rsidRDefault="00A4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5A1">
        <w:rPr>
          <w:rFonts w:ascii="Times New Roman" w:hAnsi="Times New Roman" w:cs="Times New Roman"/>
          <w:sz w:val="28"/>
          <w:szCs w:val="28"/>
        </w:rPr>
        <w:t xml:space="preserve">         за период с 1 января 20___ года по 31 декабря 20___ года</w:t>
      </w:r>
    </w:p>
    <w:p w:rsidR="00A46D24" w:rsidRPr="00AA75A1" w:rsidRDefault="00A46D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rPr>
          <w:rFonts w:ascii="Times New Roman" w:hAnsi="Times New Roman" w:cs="Times New Roman"/>
          <w:sz w:val="28"/>
          <w:szCs w:val="28"/>
        </w:rPr>
        <w:sectPr w:rsidR="00A46D24" w:rsidRPr="00AA75A1" w:rsidSect="006E3D5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20"/>
        <w:gridCol w:w="960"/>
        <w:gridCol w:w="992"/>
        <w:gridCol w:w="928"/>
        <w:gridCol w:w="813"/>
        <w:gridCol w:w="867"/>
        <w:gridCol w:w="939"/>
        <w:gridCol w:w="847"/>
        <w:gridCol w:w="840"/>
        <w:gridCol w:w="1154"/>
        <w:gridCol w:w="1149"/>
        <w:gridCol w:w="1551"/>
      </w:tblGrid>
      <w:tr w:rsidR="00A46D24" w:rsidRPr="00AA75A1">
        <w:tc>
          <w:tcPr>
            <w:tcW w:w="540" w:type="dxa"/>
            <w:vMerge w:val="restart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920" w:type="dxa"/>
            <w:vMerge w:val="restart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Фамилия и инициалы должностного лица, чьи сведения размещаются</w:t>
            </w:r>
          </w:p>
        </w:tc>
        <w:tc>
          <w:tcPr>
            <w:tcW w:w="960" w:type="dxa"/>
            <w:vMerge w:val="restart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00" w:type="dxa"/>
            <w:gridSpan w:val="4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2626" w:type="dxa"/>
            <w:gridSpan w:val="3"/>
            <w:vAlign w:val="bottom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154" w:type="dxa"/>
            <w:vMerge w:val="restart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49" w:type="dxa"/>
            <w:vMerge w:val="restart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551" w:type="dxa"/>
            <w:vMerge w:val="restart"/>
            <w:vAlign w:val="bottom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6D24" w:rsidRPr="00AA75A1">
        <w:tc>
          <w:tcPr>
            <w:tcW w:w="540" w:type="dxa"/>
            <w:vMerge/>
          </w:tcPr>
          <w:p w:rsidR="00A46D24" w:rsidRPr="00AA75A1" w:rsidRDefault="00A46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A46D24" w:rsidRPr="00AA75A1" w:rsidRDefault="00A46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A46D24" w:rsidRPr="00AA75A1" w:rsidRDefault="00A46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28" w:type="dxa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813" w:type="dxa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площадь (кв.м)</w:t>
            </w:r>
          </w:p>
        </w:tc>
        <w:tc>
          <w:tcPr>
            <w:tcW w:w="867" w:type="dxa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939" w:type="dxa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847" w:type="dxa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площадь (кв.м)</w:t>
            </w:r>
          </w:p>
        </w:tc>
        <w:tc>
          <w:tcPr>
            <w:tcW w:w="840" w:type="dxa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154" w:type="dxa"/>
            <w:vMerge/>
          </w:tcPr>
          <w:p w:rsidR="00A46D24" w:rsidRPr="00AA75A1" w:rsidRDefault="00A46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A46D24" w:rsidRPr="00AA75A1" w:rsidRDefault="00A46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A46D24" w:rsidRPr="00AA75A1" w:rsidRDefault="00A46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24" w:rsidRPr="00AA75A1">
        <w:tc>
          <w:tcPr>
            <w:tcW w:w="540" w:type="dxa"/>
            <w:vMerge w:val="restart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24" w:rsidRPr="00AA75A1">
        <w:tc>
          <w:tcPr>
            <w:tcW w:w="540" w:type="dxa"/>
            <w:vMerge/>
          </w:tcPr>
          <w:p w:rsidR="00A46D24" w:rsidRPr="00AA75A1" w:rsidRDefault="00A46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96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24" w:rsidRPr="00AA75A1">
        <w:tc>
          <w:tcPr>
            <w:tcW w:w="540" w:type="dxa"/>
            <w:vMerge/>
          </w:tcPr>
          <w:p w:rsidR="00A46D24" w:rsidRPr="00AA75A1" w:rsidRDefault="00A46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96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24" w:rsidRPr="00AA75A1">
        <w:tc>
          <w:tcPr>
            <w:tcW w:w="540" w:type="dxa"/>
            <w:vMerge w:val="restart"/>
          </w:tcPr>
          <w:p w:rsidR="00A46D24" w:rsidRPr="00AA75A1" w:rsidRDefault="00A46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24" w:rsidRPr="00AA75A1">
        <w:tc>
          <w:tcPr>
            <w:tcW w:w="540" w:type="dxa"/>
            <w:vMerge/>
          </w:tcPr>
          <w:p w:rsidR="00A46D24" w:rsidRPr="00AA75A1" w:rsidRDefault="00A46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96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24" w:rsidRPr="00AA75A1">
        <w:tc>
          <w:tcPr>
            <w:tcW w:w="540" w:type="dxa"/>
            <w:vMerge/>
          </w:tcPr>
          <w:p w:rsidR="00A46D24" w:rsidRPr="00AA75A1" w:rsidRDefault="00A46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1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Несовершеннолетний </w:t>
            </w:r>
            <w:r w:rsidRPr="00AA7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</w:t>
            </w:r>
          </w:p>
        </w:tc>
        <w:tc>
          <w:tcPr>
            <w:tcW w:w="96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46D24" w:rsidRPr="00AA75A1" w:rsidRDefault="00A4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D24" w:rsidRPr="00AA75A1" w:rsidRDefault="00A4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4" w:rsidRPr="00AA75A1" w:rsidRDefault="00A46D2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97932" w:rsidRPr="00AA75A1" w:rsidRDefault="00F97932">
      <w:pPr>
        <w:rPr>
          <w:rFonts w:ascii="Times New Roman" w:hAnsi="Times New Roman" w:cs="Times New Roman"/>
          <w:sz w:val="28"/>
          <w:szCs w:val="28"/>
        </w:rPr>
      </w:pPr>
    </w:p>
    <w:sectPr w:rsidR="00F97932" w:rsidRPr="00AA75A1" w:rsidSect="00E816D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D24"/>
    <w:rsid w:val="000C5711"/>
    <w:rsid w:val="000F4735"/>
    <w:rsid w:val="001B6E2B"/>
    <w:rsid w:val="00204FE8"/>
    <w:rsid w:val="00255819"/>
    <w:rsid w:val="0027085D"/>
    <w:rsid w:val="00392CB0"/>
    <w:rsid w:val="003C6712"/>
    <w:rsid w:val="003F0E80"/>
    <w:rsid w:val="00474484"/>
    <w:rsid w:val="004E4C20"/>
    <w:rsid w:val="00655D99"/>
    <w:rsid w:val="006A10FF"/>
    <w:rsid w:val="006E3D54"/>
    <w:rsid w:val="00705032"/>
    <w:rsid w:val="007A0B47"/>
    <w:rsid w:val="007C4838"/>
    <w:rsid w:val="0087710A"/>
    <w:rsid w:val="008E2EAF"/>
    <w:rsid w:val="0093039B"/>
    <w:rsid w:val="00952877"/>
    <w:rsid w:val="00983B09"/>
    <w:rsid w:val="009E57F4"/>
    <w:rsid w:val="00A46D24"/>
    <w:rsid w:val="00AA75A1"/>
    <w:rsid w:val="00B00E1F"/>
    <w:rsid w:val="00B145AE"/>
    <w:rsid w:val="00B173B5"/>
    <w:rsid w:val="00C55215"/>
    <w:rsid w:val="00CA3C6B"/>
    <w:rsid w:val="00CF4591"/>
    <w:rsid w:val="00D1607E"/>
    <w:rsid w:val="00D33335"/>
    <w:rsid w:val="00E261CE"/>
    <w:rsid w:val="00E840FE"/>
    <w:rsid w:val="00EE1F64"/>
    <w:rsid w:val="00F678DD"/>
    <w:rsid w:val="00F97932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8338"/>
  <w15:docId w15:val="{6B48CF19-7BB5-45BE-B9E3-4512E87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D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D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"/>
    <w:rsid w:val="006E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????????????"/>
    <w:basedOn w:val="a3"/>
    <w:rsid w:val="006E3D54"/>
    <w:pPr>
      <w:widowControl w:val="0"/>
      <w:jc w:val="center"/>
    </w:pPr>
    <w:rPr>
      <w:b/>
      <w:sz w:val="32"/>
    </w:rPr>
  </w:style>
  <w:style w:type="paragraph" w:styleId="a5">
    <w:name w:val="No Spacing"/>
    <w:link w:val="a6"/>
    <w:qFormat/>
    <w:rsid w:val="006E3D54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6E3D54"/>
  </w:style>
  <w:style w:type="character" w:styleId="a7">
    <w:name w:val="Hyperlink"/>
    <w:basedOn w:val="a0"/>
    <w:uiPriority w:val="99"/>
    <w:unhideWhenUsed/>
    <w:rsid w:val="006E3D54"/>
    <w:rPr>
      <w:color w:val="0000FF"/>
      <w:u w:val="single"/>
    </w:rPr>
  </w:style>
  <w:style w:type="paragraph" w:customStyle="1" w:styleId="Default">
    <w:name w:val="Default"/>
    <w:rsid w:val="006E3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C579302360B4CE7250F88176352CD5BF10C564FCFC4A16F49C3054B7871BD320D3E4B2E4CC7957BF86FABB6C9DAB5F7F1B414B55A58FE7D6DF82ERDj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BC579302360B4CE7251185010F0DC450FF53594ACACEFE301EC552142877E8724D381D65039EC53FAD62AFBEDC8EECADA6B917RBj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obmen\&#1054;&#1041;&#1052;&#1045;&#1053;\&#1045;&#1096;&#1091;&#1082;&#1086;&#1074;%20&#1057;.&#1042;\&#1050;&#1086;&#1088;&#1088;&#1091;&#1087;&#1094;&#1080;&#1103;\&#1054;&#1074;&#1077;&#1090;%20&#1087;&#1086;%20&#1087;&#1088;&#1086;&#1074;&#1077;&#1088;&#1082;&#1077;\&#1053;&#1072;&#1087;&#1086;&#1083;&#1085;&#1077;&#1085;&#1080;&#1077;%20&#1089;&#1072;&#1081;&#1090;&#1072;%20&#1087;.17%20&#1055;&#1083;&#1072;&#1085;&#1072;\275-&#1087;%20&#1086;%20&#1085;&#1072;&#1087;&#1086;&#1083;&#1085;&#1077;&#1085;&#1080;&#1080;%20&#1088;&#1072;&#1079;&#1076;&#1077;&#1083;&#1086;&#1074;%20&#1089;&#1072;&#1081;&#1090;&#1072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CA772CCC88971F0B599AC8E9E07B9AF1C3EB6DC1DB18ED544402E4D7446AF03n4c7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9BC579302360B4CE7250F88176352CD5BF10C564FCFC4A16F49C3054B7871BD320D3E4B2E4CC7957BF86EAEB0C9DAB5F7F1B414B55A58FE7D6DF82ERDj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2020-08-18T09:39:00Z</cp:lastPrinted>
  <dcterms:created xsi:type="dcterms:W3CDTF">2020-08-31T02:53:00Z</dcterms:created>
  <dcterms:modified xsi:type="dcterms:W3CDTF">2024-04-17T12:08:00Z</dcterms:modified>
</cp:coreProperties>
</file>