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472E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472E8">
        <w:rPr>
          <w:rFonts w:ascii="Times New Roman" w:hAnsi="Times New Roman" w:cs="Times New Roman"/>
          <w:sz w:val="24"/>
          <w:szCs w:val="24"/>
        </w:rPr>
        <w:t>к протоколу заседания конкурсной комиссии</w:t>
      </w:r>
    </w:p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472E8">
        <w:rPr>
          <w:rFonts w:ascii="Times New Roman" w:hAnsi="Times New Roman" w:cs="Times New Roman"/>
          <w:sz w:val="24"/>
          <w:szCs w:val="24"/>
        </w:rPr>
        <w:t>по отбору инициативных проектов  на территории</w:t>
      </w:r>
    </w:p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472E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B472E8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472E8">
        <w:rPr>
          <w:rFonts w:ascii="Times New Roman" w:hAnsi="Times New Roman" w:cs="Times New Roman"/>
          <w:sz w:val="24"/>
          <w:szCs w:val="24"/>
        </w:rPr>
        <w:t>в 202</w:t>
      </w:r>
      <w:r w:rsidR="002B261D">
        <w:rPr>
          <w:rFonts w:ascii="Times New Roman" w:hAnsi="Times New Roman" w:cs="Times New Roman"/>
          <w:sz w:val="24"/>
          <w:szCs w:val="24"/>
        </w:rPr>
        <w:t>4</w:t>
      </w:r>
      <w:r w:rsidRPr="00B472E8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A76986" w:rsidRPr="00232595" w:rsidRDefault="00A76986" w:rsidP="00A769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4A467E" w:rsidRPr="00232595" w:rsidRDefault="004A467E" w:rsidP="004A46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3259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Критерии</w:t>
      </w:r>
      <w:r w:rsidRPr="0023259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br/>
        <w:t xml:space="preserve">конкурсного отбора инициативных проектов на территории </w:t>
      </w:r>
      <w:proofErr w:type="spellStart"/>
      <w:r w:rsidRPr="002325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Тевризского</w:t>
      </w:r>
      <w:proofErr w:type="spellEnd"/>
      <w:r w:rsidRPr="00232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23259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Омской области (далее - критерии отбора)</w:t>
      </w:r>
    </w:p>
    <w:p w:rsidR="004A467E" w:rsidRPr="00232595" w:rsidRDefault="004A467E" w:rsidP="004A467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15594" w:type="dxa"/>
        <w:tblInd w:w="-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4"/>
        <w:gridCol w:w="2254"/>
        <w:gridCol w:w="2761"/>
        <w:gridCol w:w="2236"/>
        <w:gridCol w:w="1703"/>
        <w:gridCol w:w="11"/>
        <w:gridCol w:w="11"/>
        <w:gridCol w:w="11"/>
        <w:gridCol w:w="11"/>
        <w:gridCol w:w="2010"/>
        <w:gridCol w:w="1985"/>
        <w:gridCol w:w="57"/>
        <w:gridCol w:w="1920"/>
      </w:tblGrid>
      <w:tr w:rsidR="00C956CA" w:rsidRPr="00232595" w:rsidTr="00B66FF2">
        <w:trPr>
          <w:trHeight w:val="584"/>
        </w:trPr>
        <w:tc>
          <w:tcPr>
            <w:tcW w:w="6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54" w:type="dxa"/>
            <w:vMerge w:val="restart"/>
            <w:tcBorders>
              <w:top w:val="single" w:sz="6" w:space="0" w:color="000000"/>
              <w:left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 отбора</w:t>
            </w:r>
          </w:p>
        </w:tc>
        <w:tc>
          <w:tcPr>
            <w:tcW w:w="2761" w:type="dxa"/>
            <w:vMerge w:val="restart"/>
            <w:tcBorders>
              <w:top w:val="single" w:sz="6" w:space="0" w:color="000000"/>
              <w:left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оценки критерия отбора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D6DEE9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Количественный показатель оценки критерия отбора</w:t>
            </w:r>
          </w:p>
        </w:tc>
        <w:tc>
          <w:tcPr>
            <w:tcW w:w="7719" w:type="dxa"/>
            <w:gridSpan w:val="9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конкурса</w:t>
            </w:r>
            <w:r w:rsidR="00E2644A"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(наименование инициативного проекта)</w:t>
            </w:r>
          </w:p>
        </w:tc>
      </w:tr>
      <w:tr w:rsidR="004F60E0" w:rsidRPr="00232595" w:rsidTr="00B66FF2">
        <w:trPr>
          <w:trHeight w:val="883"/>
        </w:trPr>
        <w:tc>
          <w:tcPr>
            <w:tcW w:w="6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vMerge/>
            <w:tcBorders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232595" w:rsidRDefault="002B261D" w:rsidP="004A46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  <w:p w:rsidR="002B261D" w:rsidRPr="00232595" w:rsidRDefault="002B261D" w:rsidP="004A46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Бакшеевского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(«Ремонт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памятника участникам ВОВ, расположенного по адресу: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Тевризский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Ташетканы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Береговая, д. 36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  <w:proofErr w:type="gramEnd"/>
          </w:p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2</w:t>
            </w:r>
          </w:p>
          <w:p w:rsidR="002B261D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Иваново-Мысского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(«Благоустройство общественной территории, расположенной по адресу: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Школьная, д. 9»)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232595" w:rsidRDefault="002B261D" w:rsidP="002B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ограждения кладбища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Поддол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61D" w:rsidRPr="00232595" w:rsidRDefault="002B261D" w:rsidP="004A46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2B261D" w:rsidRPr="00232595" w:rsidRDefault="002B261D" w:rsidP="004A46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64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Петровского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(«</w:t>
            </w:r>
            <w:r w:rsidR="0064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ограждения кладбища </w:t>
            </w:r>
            <w:proofErr w:type="gramStart"/>
            <w:r w:rsidR="0064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64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Петрово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0E0" w:rsidRPr="00232595" w:rsidTr="00B66FF2">
        <w:tc>
          <w:tcPr>
            <w:tcW w:w="624" w:type="dxa"/>
            <w:vMerge w:val="restart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B261D" w:rsidRPr="00232595" w:rsidRDefault="002B261D" w:rsidP="008A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54" w:type="dxa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Актуальность, социальная значимость, экономическая эффективность инициативного проекта, выдвигаемого для получения финансовой поддержки за счет межбюджетных трансфертов из бюджета муниципального района, направленного на решение вопросов местного значения или иных вопросов, право </w:t>
            </w:r>
            <w:proofErr w:type="gram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</w:t>
            </w:r>
            <w:proofErr w:type="gram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предоставлено органам местного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самоуправления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(далее - инициативный проект)</w:t>
            </w: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населения, принявшая участие в выдвижении инициативного проекта, в общей численности населения населенного пункта или части его территории</w:t>
            </w:r>
          </w:p>
        </w:tc>
        <w:tc>
          <w:tcPr>
            <w:tcW w:w="223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30 процентов - 100 баллов;</w:t>
            </w:r>
          </w:p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 до 30 процентов включительно - 70 баллов;</w:t>
            </w:r>
          </w:p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20 процентов - 50 баллов;</w:t>
            </w:r>
          </w:p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процентов - 30 баллов;</w:t>
            </w:r>
          </w:p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процентов - 10 баллов</w:t>
            </w:r>
          </w:p>
        </w:tc>
        <w:tc>
          <w:tcPr>
            <w:tcW w:w="1736" w:type="dxa"/>
            <w:gridSpan w:val="4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950459" w:rsidRDefault="003F1393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2B261D"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  <w:p w:rsidR="002B261D" w:rsidRPr="00B66FF2" w:rsidRDefault="003F1393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  <w:r w:rsidR="002B261D"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B261D" w:rsidRPr="0095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  <w:r w:rsidR="002B261D"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261D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950459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A673F1" w:rsidRDefault="00A673F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179/337</w:t>
            </w:r>
          </w:p>
          <w:p w:rsidR="00A673F1" w:rsidRPr="00A673F1" w:rsidRDefault="00A673F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53,1% - </w:t>
            </w:r>
            <w:r w:rsidRPr="00A67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6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9374F6" w:rsidRDefault="009374F6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  <w:r w:rsidR="002B261D" w:rsidRPr="009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9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2B261D" w:rsidRPr="009374F6" w:rsidRDefault="009374F6" w:rsidP="00F305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2B261D" w:rsidRPr="009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B261D" w:rsidRPr="00937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="002B261D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61D" w:rsidRPr="00BD5999" w:rsidRDefault="00BD5999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  <w:r w:rsidR="002B261D" w:rsidRPr="00BD5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BD5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  <w:p w:rsidR="002B261D" w:rsidRPr="00B66FF2" w:rsidRDefault="00BD5999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  <w:r w:rsidR="002B261D" w:rsidRPr="00BD5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BD5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B261D" w:rsidRPr="00BD5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B261D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F60E0" w:rsidRPr="00232595" w:rsidTr="00B66FF2">
        <w:tc>
          <w:tcPr>
            <w:tcW w:w="624" w:type="dxa"/>
            <w:vMerge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(человек) в общей численности населения населенного пункта или его части, которые будут регулярно (не реже одного раза в месяц) пользоваться результатами реализованного инициативного проекта</w:t>
            </w:r>
          </w:p>
        </w:tc>
        <w:tc>
          <w:tcPr>
            <w:tcW w:w="223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80 до 100 процентов - 50 баллов;</w:t>
            </w:r>
          </w:p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 до 80 процентов - 30 баллов;</w:t>
            </w:r>
          </w:p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 до 50 процентов - 20 баллов;</w:t>
            </w:r>
          </w:p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 процентов - 10 баллов</w:t>
            </w:r>
          </w:p>
        </w:tc>
        <w:tc>
          <w:tcPr>
            <w:tcW w:w="1736" w:type="dxa"/>
            <w:gridSpan w:val="4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53602D" w:rsidRDefault="0053602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  <w:r w:rsidR="002B261D" w:rsidRPr="00536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 w:rsidRPr="00536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  <w:p w:rsidR="00A673F1" w:rsidRDefault="00A673F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53602D" w:rsidRDefault="0053602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2B261D" w:rsidRPr="00536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B261D" w:rsidRPr="00536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="002B261D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6448EF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A673F1" w:rsidRDefault="00A673F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297/337</w:t>
            </w:r>
          </w:p>
          <w:p w:rsidR="00A673F1" w:rsidRPr="00A673F1" w:rsidRDefault="00A673F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88,1% - </w:t>
            </w:r>
            <w:r w:rsidRPr="00A67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  <w:r w:rsidR="008B6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6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6448EF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6448EF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681827" w:rsidRDefault="00681827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2B261D" w:rsidRPr="00681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681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681827" w:rsidRPr="00681827" w:rsidRDefault="00681827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6448EF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81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- </w:t>
            </w:r>
            <w:r w:rsidRPr="00681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61D" w:rsidRPr="00785321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85321" w:rsidRPr="0078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78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="00785321" w:rsidRPr="0078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  <w:p w:rsidR="00785321" w:rsidRPr="00785321" w:rsidRDefault="0078532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6448EF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8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- </w:t>
            </w:r>
            <w:r w:rsidRPr="0078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B66FF2" w:rsidRPr="00232595" w:rsidTr="00B66FF2">
        <w:tc>
          <w:tcPr>
            <w:tcW w:w="624" w:type="dxa"/>
            <w:vMerge w:val="restart"/>
            <w:tcBorders>
              <w:top w:val="single" w:sz="6" w:space="0" w:color="D6DEE9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F60E0" w:rsidRPr="00232595" w:rsidRDefault="004F60E0" w:rsidP="004F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54" w:type="dxa"/>
            <w:vMerge w:val="restart"/>
            <w:tcBorders>
              <w:top w:val="single" w:sz="6" w:space="0" w:color="D6DEE9"/>
              <w:left w:val="single" w:sz="6" w:space="0" w:color="D6DEE9"/>
              <w:right w:val="single" w:sz="6" w:space="0" w:color="000000"/>
            </w:tcBorders>
            <w:vAlign w:val="center"/>
            <w:hideMark/>
          </w:tcPr>
          <w:p w:rsidR="004F60E0" w:rsidRPr="00232595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об инициативном проекте</w:t>
            </w: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Распространение печатных информационных материалов (объявления, листовки, брошюры, буклеты)</w:t>
            </w:r>
          </w:p>
        </w:tc>
        <w:tc>
          <w:tcPr>
            <w:tcW w:w="223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Наличие - 20 баллов;</w:t>
            </w:r>
          </w:p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отсутствие - 0 баллов</w:t>
            </w:r>
          </w:p>
        </w:tc>
        <w:tc>
          <w:tcPr>
            <w:tcW w:w="1736" w:type="dxa"/>
            <w:gridSpan w:val="4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6448EF" w:rsidRDefault="00B9653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96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D92819" w:rsidRPr="00D92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="00D92819" w:rsidRPr="00D9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6448EF" w:rsidRDefault="00B9653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 w:rsidR="003D4402" w:rsidRPr="003D4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8B6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D4402" w:rsidRPr="003D4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85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6448EF" w:rsidRDefault="00B9653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- </w:t>
            </w:r>
            <w:r w:rsidR="008B62E1" w:rsidRPr="008B6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="008B62E1" w:rsidRPr="008B6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60E0" w:rsidRPr="006448EF" w:rsidRDefault="00B9653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- </w:t>
            </w:r>
            <w:r w:rsidRPr="008B6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8B6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B66FF2" w:rsidRPr="00232595" w:rsidTr="00B66FF2">
        <w:tc>
          <w:tcPr>
            <w:tcW w:w="6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F60E0" w:rsidRPr="00232595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6" w:space="0" w:color="D6DEE9"/>
              <w:right w:val="single" w:sz="6" w:space="0" w:color="000000"/>
            </w:tcBorders>
            <w:vAlign w:val="center"/>
            <w:hideMark/>
          </w:tcPr>
          <w:p w:rsidR="004F60E0" w:rsidRPr="00232595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информационных материалов в средствах массовой информации и (или) на официальном сайте муниципального образования в информационно-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"Интернет"</w:t>
            </w:r>
          </w:p>
        </w:tc>
        <w:tc>
          <w:tcPr>
            <w:tcW w:w="223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1 канала информирования - 15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наличие 2 и более каналов информирования - 30 баллов</w:t>
            </w:r>
          </w:p>
        </w:tc>
        <w:tc>
          <w:tcPr>
            <w:tcW w:w="1736" w:type="dxa"/>
            <w:gridSpan w:val="4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133DBB" w:rsidRDefault="000F3584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92819" w:rsidRPr="0013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</w:t>
            </w:r>
            <w:r w:rsidRPr="0013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(официальный сайт)</w:t>
            </w:r>
            <w:r w:rsidR="00D92819" w:rsidRPr="0013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956CA" w:rsidRPr="00133D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92819" w:rsidRPr="00133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6448EF" w:rsidRDefault="000F3584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(официальный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и официальный 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бюллетень) – </w:t>
            </w:r>
            <w:r w:rsidRPr="000F3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85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6448EF" w:rsidRDefault="008B62E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(официальный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и официальный 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бюллетень) – </w:t>
            </w:r>
            <w:r w:rsidRPr="000F3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60E0" w:rsidRPr="006448EF" w:rsidRDefault="00D84859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(официальный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и официальный 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бюллетень) – </w:t>
            </w:r>
            <w:r w:rsidRPr="000F3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B66FF2" w:rsidRPr="00232595" w:rsidTr="00B66FF2">
        <w:tc>
          <w:tcPr>
            <w:tcW w:w="6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0E0" w:rsidRPr="00232595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0E0" w:rsidRPr="00232595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социальных сетях</w:t>
            </w:r>
          </w:p>
        </w:tc>
        <w:tc>
          <w:tcPr>
            <w:tcW w:w="223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Наличие - 20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отсутствие - 0 баллов</w:t>
            </w:r>
          </w:p>
        </w:tc>
        <w:tc>
          <w:tcPr>
            <w:tcW w:w="1736" w:type="dxa"/>
            <w:gridSpan w:val="4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6CA" w:rsidRPr="000F3584" w:rsidRDefault="00C956CA" w:rsidP="00C95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 Одноклассники, </w:t>
            </w:r>
            <w:proofErr w:type="spellStart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F60E0" w:rsidRPr="006448EF" w:rsidRDefault="00C956CA" w:rsidP="00C95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95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95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3584" w:rsidRPr="000F3584" w:rsidRDefault="000F3584" w:rsidP="000F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 Одноклассники, </w:t>
            </w:r>
            <w:proofErr w:type="spellStart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F3584" w:rsidRPr="006448EF" w:rsidRDefault="000F3584" w:rsidP="000F35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F3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85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62E1" w:rsidRPr="000F3584" w:rsidRDefault="008B62E1" w:rsidP="008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 Одноклассники, </w:t>
            </w:r>
            <w:proofErr w:type="spellStart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F60E0" w:rsidRPr="006448EF" w:rsidRDefault="008B62E1" w:rsidP="008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F3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4859" w:rsidRPr="000F3584" w:rsidRDefault="00D84859" w:rsidP="00D84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spellEnd"/>
            <w:proofErr w:type="gramEnd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 Одноклассники, </w:t>
            </w:r>
            <w:proofErr w:type="spellStart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F60E0" w:rsidRPr="006448EF" w:rsidRDefault="00D84859" w:rsidP="00D84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F3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D84859" w:rsidRPr="00232595" w:rsidTr="00B66FF2">
        <w:tc>
          <w:tcPr>
            <w:tcW w:w="624" w:type="dxa"/>
            <w:vMerge w:val="restart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dxa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участия жителей муниципальных образований поселений </w:t>
            </w:r>
            <w:proofErr w:type="spellStart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в </w:t>
            </w:r>
            <w:proofErr w:type="spellStart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</w:t>
            </w: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инициативных платежей физических лиц в </w:t>
            </w:r>
            <w:proofErr w:type="spellStart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 к общей стоимости инициативного проекта</w:t>
            </w:r>
          </w:p>
        </w:tc>
        <w:tc>
          <w:tcPr>
            <w:tcW w:w="223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Более 20 процентов - 100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15 до 20 процентов включительно - 80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10 до 15 процентов - 60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5 до 10 процентов - 40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до 5 процентов - 20 баллов</w:t>
            </w:r>
          </w:p>
        </w:tc>
        <w:tc>
          <w:tcPr>
            <w:tcW w:w="1714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950459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75DB"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000/</w:t>
            </w:r>
            <w:r w:rsidR="000275DB"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  <w:p w:rsidR="00A56FC5" w:rsidRPr="00950459" w:rsidRDefault="00A56FC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0E0" w:rsidRPr="000275DB" w:rsidRDefault="000275DB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  <w:r w:rsidR="004F60E0"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60E0" w:rsidRPr="00950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4F60E0" w:rsidRPr="00950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43" w:type="dxa"/>
            <w:gridSpan w:val="4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A56FC5" w:rsidRDefault="00A56FC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33 000/148 000</w:t>
            </w:r>
          </w:p>
          <w:p w:rsidR="00A56FC5" w:rsidRPr="00A56FC5" w:rsidRDefault="00A56FC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22,3% - </w:t>
            </w:r>
            <w:r w:rsidRPr="00A56F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8B62E1" w:rsidRDefault="008B62E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</w:t>
            </w:r>
            <w:r w:rsidR="004F60E0" w:rsidRPr="008B6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000/1</w:t>
            </w:r>
            <w:r w:rsidRPr="008B6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4F60E0" w:rsidRPr="008B6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  <w:p w:rsidR="008B62E1" w:rsidRPr="008B62E1" w:rsidRDefault="008B62E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0E0" w:rsidRPr="006448EF" w:rsidRDefault="008B62E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6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  <w:r w:rsidR="004F60E0" w:rsidRPr="008B6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4F60E0" w:rsidRPr="008B6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="004F60E0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60E0" w:rsidRPr="00D84859" w:rsidRDefault="00D84859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84 178</w:t>
            </w:r>
            <w:r w:rsidR="004F60E0" w:rsidRPr="00D84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D84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229 178</w:t>
            </w:r>
          </w:p>
          <w:p w:rsidR="00D84859" w:rsidRPr="00D84859" w:rsidRDefault="00D84859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0E0" w:rsidRPr="006448EF" w:rsidRDefault="00D84859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4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  <w:r w:rsidR="004F60E0" w:rsidRPr="00D84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4F60E0" w:rsidRPr="00D84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="004F60E0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D84859" w:rsidRPr="00232595" w:rsidTr="00B66FF2">
        <w:tc>
          <w:tcPr>
            <w:tcW w:w="624" w:type="dxa"/>
            <w:vMerge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0E0" w:rsidRPr="004F60E0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single" w:sz="6" w:space="0" w:color="D6DEE9"/>
              <w:left w:val="single" w:sz="6" w:space="0" w:color="D6DEE9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F60E0" w:rsidRPr="004F60E0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Отношение объема инициативных платежей индивидуальных предпринимателей и юридических лиц, направляемых на реализацию проекта, к общей стоимости инициативного проекта</w:t>
            </w:r>
          </w:p>
        </w:tc>
        <w:tc>
          <w:tcPr>
            <w:tcW w:w="2236" w:type="dxa"/>
            <w:tcBorders>
              <w:top w:val="single" w:sz="6" w:space="0" w:color="D6DEE9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Более 10 процентов - 100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5 до 10 процентов включительно - 70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2 до 5 процентов - 50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1 до 2 процентов - 40 баллов;</w:t>
            </w:r>
          </w:p>
          <w:p w:rsidR="004F60E0" w:rsidRPr="004F60E0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до 1 процента - 30 баллов</w:t>
            </w:r>
          </w:p>
        </w:tc>
        <w:tc>
          <w:tcPr>
            <w:tcW w:w="1725" w:type="dxa"/>
            <w:gridSpan w:val="3"/>
            <w:tcBorders>
              <w:top w:val="single" w:sz="6" w:space="0" w:color="D6DEE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F953CC" w:rsidRDefault="00F953CC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60E0" w:rsidRPr="00F95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0 000/</w:t>
            </w:r>
            <w:r w:rsidRPr="00F95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4F60E0" w:rsidRPr="00F95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  <w:p w:rsidR="00D82321" w:rsidRDefault="00D8232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0E0" w:rsidRPr="006448EF" w:rsidRDefault="00F953CC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95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  <w:r w:rsidR="004F60E0" w:rsidRPr="00F95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4F60E0" w:rsidRPr="00F95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="004F60E0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32" w:type="dxa"/>
            <w:gridSpan w:val="3"/>
            <w:tcBorders>
              <w:top w:val="single" w:sz="6" w:space="0" w:color="D6DEE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D82321" w:rsidRDefault="00D8232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14 900/148 000</w:t>
            </w:r>
          </w:p>
          <w:p w:rsidR="004F60E0" w:rsidRPr="006448EF" w:rsidRDefault="00D8232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10,07% - </w:t>
            </w:r>
            <w:r w:rsidRPr="00D82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8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85" w:type="dxa"/>
            <w:tcBorders>
              <w:top w:val="single" w:sz="6" w:space="0" w:color="D6DEE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224C26" w:rsidRDefault="001F4648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  <w:r w:rsidR="004F60E0" w:rsidRPr="00224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  <w:r w:rsidRPr="00224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4F60E0" w:rsidRPr="00224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  <w:p w:rsidR="00224C26" w:rsidRPr="00224C26" w:rsidRDefault="00224C26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0E0" w:rsidRPr="006448EF" w:rsidRDefault="00224C26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24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10,8/</w:t>
            </w:r>
            <w:r w:rsidR="004F60E0" w:rsidRPr="00224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4F60E0" w:rsidRP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4F60E0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2"/>
            <w:tcBorders>
              <w:top w:val="single" w:sz="6" w:space="0" w:color="D6DEE9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60E0" w:rsidRPr="00EF411E" w:rsidRDefault="00D84859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20 000/229 178</w:t>
            </w:r>
          </w:p>
          <w:p w:rsidR="00D84859" w:rsidRPr="00EF411E" w:rsidRDefault="00D84859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60E0" w:rsidRPr="006448EF" w:rsidRDefault="00D84859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F4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8,7% - </w:t>
            </w:r>
            <w:r w:rsidRPr="00EF4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F60E0" w:rsidRPr="00EF4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4F60E0" w:rsidRPr="00EF4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66FF2" w:rsidRPr="00232595" w:rsidTr="00B66FF2">
        <w:tc>
          <w:tcPr>
            <w:tcW w:w="624" w:type="dxa"/>
            <w:vMerge w:val="restart"/>
            <w:tcBorders>
              <w:top w:val="single" w:sz="6" w:space="0" w:color="D6DEE9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232595" w:rsidRDefault="004F60E0" w:rsidP="008A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232595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участия жителей в нефинансовой форме в реализации инициативного проекта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изъявивших желание принять нефинансовое участие в реализации инициативного проекта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Более 30 человек - 100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20 до 30 человек включительно - 70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10 до 20 человек включительно - 50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5 до 10 человек - 20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1 до 5 человек - 10 баллов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512C48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512C48" w:rsidRPr="0051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1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– </w:t>
            </w:r>
            <w:r w:rsidR="00512C48" w:rsidRPr="0051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162182" w:rsidRDefault="00162182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чел – </w:t>
            </w:r>
            <w:r w:rsidRPr="00162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  <w:r w:rsid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B66FF2" w:rsidRDefault="00112487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F60E0" w:rsidRPr="0011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 – </w:t>
            </w:r>
            <w:r w:rsidRPr="00112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4F60E0" w:rsidRPr="00112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4F60E0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EF411E" w:rsidRDefault="00EF411E" w:rsidP="00F305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F60E0" w:rsidRPr="00EF4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</w:t>
            </w:r>
            <w:r w:rsidR="004F60E0" w:rsidRPr="00EF4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EF4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4F60E0" w:rsidRPr="00EF4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4F60E0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F60E0" w:rsidRPr="00232595" w:rsidTr="00B66FF2">
        <w:tc>
          <w:tcPr>
            <w:tcW w:w="624" w:type="dxa"/>
            <w:vMerge/>
            <w:tcBorders>
              <w:left w:val="single" w:sz="6" w:space="0" w:color="000000"/>
              <w:bottom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Default="004F60E0" w:rsidP="008A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6" w:space="0" w:color="D6DEE9"/>
              <w:bottom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232595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Количество индивидуальных предпринимателей и (или) юридических лиц, изъявивших желание принять нефинансовое участие в реализации инициативного проекта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2 и более</w:t>
            </w:r>
          </w:p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индивидуальных предпринимателей и (или) юридических лиц - 50 баллов;</w:t>
            </w:r>
          </w:p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1 индивидуальный предприниматель или 1 юридическое лицо - 25 баллов;</w:t>
            </w:r>
          </w:p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нефинансового участия индивидуальных предпринимателей и (или) юридических лиц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- 0 баллов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6448EF" w:rsidRDefault="00512C48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– </w:t>
            </w:r>
            <w:r w:rsidRPr="00512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D6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2D671D" w:rsidRPr="002D6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1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6448EF" w:rsidRDefault="002D67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D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  <w:r w:rsidRPr="002D6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Pr="002D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6448EF" w:rsidRDefault="0009566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  <w:r w:rsidRPr="000956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60E0" w:rsidRPr="006448EF" w:rsidRDefault="006151BF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  <w:r w:rsidRPr="000956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0F3584" w:rsidRPr="00232595" w:rsidTr="00B66FF2">
        <w:tc>
          <w:tcPr>
            <w:tcW w:w="624" w:type="dxa"/>
            <w:tcBorders>
              <w:top w:val="single" w:sz="6" w:space="0" w:color="D6DEE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54" w:type="dxa"/>
            <w:tcBorders>
              <w:top w:val="single" w:sz="6" w:space="0" w:color="D6DEE9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 за счет средств местного бюджета поселения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средств бюджета муниципального образования (поселения) </w:t>
            </w:r>
            <w:proofErr w:type="spellStart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направляемых на реализацию инициативного проекта, к общей стоимости инициативного проекта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Более 25 процентов - 100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20 до 25 процентов включительно - 70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15 до 20 процентов - 50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10 до 15 процентов - 40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5 до 10 процентов - 30 баллов;</w:t>
            </w:r>
          </w:p>
          <w:p w:rsidR="004F60E0" w:rsidRPr="004F60E0" w:rsidRDefault="004F60E0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до 5 процентов - 20 баллов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8073DF" w:rsidRDefault="008073DF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F60E0" w:rsidRPr="0080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000/</w:t>
            </w:r>
            <w:r w:rsidR="00512C48" w:rsidRPr="0080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4F60E0" w:rsidRPr="0080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  <w:p w:rsidR="004F60E0" w:rsidRPr="008073DF" w:rsidRDefault="004F60E0" w:rsidP="00F305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073DF" w:rsidRPr="0080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0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 - </w:t>
            </w:r>
            <w:r w:rsidRPr="00807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30 </w:t>
            </w:r>
            <w:r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07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2D671D" w:rsidRDefault="002D67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37 100/148 000</w:t>
            </w:r>
          </w:p>
          <w:p w:rsidR="004F60E0" w:rsidRPr="002D671D" w:rsidRDefault="002D67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25,06% - </w:t>
            </w:r>
            <w:r w:rsidRPr="002D6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Pr="002D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095665" w:rsidRDefault="0009566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4F60E0"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000/1</w:t>
            </w:r>
            <w:r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4F60E0"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  <w:p w:rsidR="004F60E0" w:rsidRPr="00B66FF2" w:rsidRDefault="0009566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  <w:r w:rsidR="004F60E0"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09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60E0" w:rsidRPr="000956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4F60E0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60E0" w:rsidRPr="006151BF" w:rsidRDefault="006151BF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60E0" w:rsidRPr="0061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5 000/</w:t>
            </w:r>
            <w:r w:rsidRPr="0061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229 178</w:t>
            </w:r>
          </w:p>
          <w:p w:rsidR="004F60E0" w:rsidRPr="006151BF" w:rsidRDefault="006151BF" w:rsidP="00F305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4F60E0" w:rsidRPr="0061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9% - </w:t>
            </w:r>
            <w:r w:rsidRPr="0061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60E0" w:rsidRPr="006151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4F60E0" w:rsidRPr="00B6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F60E0" w:rsidRPr="006448EF" w:rsidRDefault="004F60E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F60E0" w:rsidRPr="00232595" w:rsidTr="00B66FF2">
        <w:tc>
          <w:tcPr>
            <w:tcW w:w="6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Визуальное представление инициативного проекта (дизайн-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проект, макет, чертеж, эскиз, схема, рисунок)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графических и (или) иных иллюстрационных материалов,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предусматривающих визуальное представление инициативного проекта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- 30 баллов; отсутствие - 0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3DF" w:rsidRPr="00D537F7" w:rsidRDefault="00DC5C8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4F60E0" w:rsidRPr="00D537F7" w:rsidRDefault="008073DF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D537F7" w:rsidRPr="00D53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7F7" w:rsidRPr="00D537F7" w:rsidRDefault="00D537F7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</w:t>
            </w:r>
          </w:p>
          <w:p w:rsidR="004F60E0" w:rsidRPr="00D537F7" w:rsidRDefault="00D537F7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D53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0E0" w:rsidRPr="00C51AEB" w:rsidRDefault="00C51AEB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  <w:p w:rsidR="00C51AEB" w:rsidRPr="006448EF" w:rsidRDefault="00C51AEB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1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C51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25608" w:rsidRPr="00C51AEB" w:rsidRDefault="00025608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  <w:p w:rsidR="004F60E0" w:rsidRPr="006448EF" w:rsidRDefault="00025608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1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C51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</w:tr>
      <w:tr w:rsidR="00D84859" w:rsidRPr="00232595" w:rsidTr="00B66FF2">
        <w:tc>
          <w:tcPr>
            <w:tcW w:w="6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B66FF2" w:rsidRDefault="002B261D" w:rsidP="008A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B66FF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B66FF2" w:rsidRDefault="002B261D" w:rsidP="00037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B66FF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B66FF2" w:rsidRDefault="00B66FF2" w:rsidP="00DC5C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C5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B6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B66FF2" w:rsidRDefault="00377346" w:rsidP="00E824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B66FF2" w:rsidRDefault="0035535D" w:rsidP="002517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61D" w:rsidRPr="00B66FF2" w:rsidRDefault="005979C7" w:rsidP="003214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610</w:t>
            </w:r>
          </w:p>
        </w:tc>
      </w:tr>
    </w:tbl>
    <w:p w:rsidR="004A467E" w:rsidRPr="00232595" w:rsidRDefault="004A467E" w:rsidP="004A4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A467E" w:rsidRPr="00232595" w:rsidRDefault="004A467E" w:rsidP="004A4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327C" w:rsidRPr="00232595" w:rsidRDefault="0071327C">
      <w:pPr>
        <w:rPr>
          <w:rFonts w:ascii="Times New Roman" w:hAnsi="Times New Roman" w:cs="Times New Roman"/>
          <w:sz w:val="24"/>
          <w:szCs w:val="24"/>
        </w:rPr>
      </w:pPr>
    </w:p>
    <w:sectPr w:rsidR="0071327C" w:rsidRPr="00232595" w:rsidSect="004A46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467E"/>
    <w:rsid w:val="00002A8F"/>
    <w:rsid w:val="000074DB"/>
    <w:rsid w:val="00025608"/>
    <w:rsid w:val="000275DB"/>
    <w:rsid w:val="00037DDF"/>
    <w:rsid w:val="000455DE"/>
    <w:rsid w:val="0008290B"/>
    <w:rsid w:val="00094B03"/>
    <w:rsid w:val="00095665"/>
    <w:rsid w:val="000F3584"/>
    <w:rsid w:val="00112487"/>
    <w:rsid w:val="00133DBB"/>
    <w:rsid w:val="00162182"/>
    <w:rsid w:val="00175B36"/>
    <w:rsid w:val="001F4648"/>
    <w:rsid w:val="00224C26"/>
    <w:rsid w:val="00232595"/>
    <w:rsid w:val="00251718"/>
    <w:rsid w:val="002700B2"/>
    <w:rsid w:val="00292AD4"/>
    <w:rsid w:val="002B261D"/>
    <w:rsid w:val="002D671D"/>
    <w:rsid w:val="002F09F9"/>
    <w:rsid w:val="003214D1"/>
    <w:rsid w:val="0035535D"/>
    <w:rsid w:val="00377346"/>
    <w:rsid w:val="003B6CB1"/>
    <w:rsid w:val="003D4402"/>
    <w:rsid w:val="003F1393"/>
    <w:rsid w:val="004A467E"/>
    <w:rsid w:val="004B7A64"/>
    <w:rsid w:val="004F60E0"/>
    <w:rsid w:val="00512C48"/>
    <w:rsid w:val="00517E44"/>
    <w:rsid w:val="00524DA0"/>
    <w:rsid w:val="0053602D"/>
    <w:rsid w:val="00540424"/>
    <w:rsid w:val="005979C7"/>
    <w:rsid w:val="005F61F3"/>
    <w:rsid w:val="006151BF"/>
    <w:rsid w:val="00636182"/>
    <w:rsid w:val="006448EF"/>
    <w:rsid w:val="00681827"/>
    <w:rsid w:val="0071327C"/>
    <w:rsid w:val="00785321"/>
    <w:rsid w:val="007A1DF4"/>
    <w:rsid w:val="007A7D4F"/>
    <w:rsid w:val="007B0590"/>
    <w:rsid w:val="007F2C40"/>
    <w:rsid w:val="00804671"/>
    <w:rsid w:val="008073DF"/>
    <w:rsid w:val="00825E30"/>
    <w:rsid w:val="008344BD"/>
    <w:rsid w:val="00844B57"/>
    <w:rsid w:val="00860C37"/>
    <w:rsid w:val="008B62E1"/>
    <w:rsid w:val="009374F6"/>
    <w:rsid w:val="00950459"/>
    <w:rsid w:val="00951E85"/>
    <w:rsid w:val="009E3610"/>
    <w:rsid w:val="00A01B74"/>
    <w:rsid w:val="00A56FC5"/>
    <w:rsid w:val="00A60893"/>
    <w:rsid w:val="00A673F1"/>
    <w:rsid w:val="00A76986"/>
    <w:rsid w:val="00AC56A5"/>
    <w:rsid w:val="00AF5167"/>
    <w:rsid w:val="00B66FF2"/>
    <w:rsid w:val="00B96530"/>
    <w:rsid w:val="00BD08DD"/>
    <w:rsid w:val="00BD5999"/>
    <w:rsid w:val="00C02225"/>
    <w:rsid w:val="00C44414"/>
    <w:rsid w:val="00C51AEB"/>
    <w:rsid w:val="00C856ED"/>
    <w:rsid w:val="00C956CA"/>
    <w:rsid w:val="00CC7C0B"/>
    <w:rsid w:val="00D537F7"/>
    <w:rsid w:val="00D82321"/>
    <w:rsid w:val="00D84859"/>
    <w:rsid w:val="00D906C0"/>
    <w:rsid w:val="00D92819"/>
    <w:rsid w:val="00D954E7"/>
    <w:rsid w:val="00DC5C8D"/>
    <w:rsid w:val="00DF2ACB"/>
    <w:rsid w:val="00E2644A"/>
    <w:rsid w:val="00E82490"/>
    <w:rsid w:val="00E83128"/>
    <w:rsid w:val="00EB64DD"/>
    <w:rsid w:val="00EC60B0"/>
    <w:rsid w:val="00EC7427"/>
    <w:rsid w:val="00EF411E"/>
    <w:rsid w:val="00F30581"/>
    <w:rsid w:val="00F80629"/>
    <w:rsid w:val="00F953CC"/>
    <w:rsid w:val="00FE0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8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dcterms:created xsi:type="dcterms:W3CDTF">2023-05-31T04:15:00Z</dcterms:created>
  <dcterms:modified xsi:type="dcterms:W3CDTF">2024-07-15T08:50:00Z</dcterms:modified>
</cp:coreProperties>
</file>