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91" w:rsidRDefault="00543B91">
      <w:pPr>
        <w:pStyle w:val="ConsPlusTitle"/>
        <w:jc w:val="center"/>
      </w:pPr>
      <w:bookmarkStart w:id="0" w:name="_GoBack"/>
      <w:bookmarkEnd w:id="0"/>
    </w:p>
    <w:p w:rsidR="00543B91" w:rsidRDefault="00543B91">
      <w:pPr>
        <w:pStyle w:val="ConsPlusTitle"/>
        <w:jc w:val="center"/>
      </w:pPr>
      <w:r>
        <w:t>РОСРЕЕСТР РАЗЪЯСНИЛ</w:t>
      </w:r>
    </w:p>
    <w:p w:rsidR="00543B91" w:rsidRDefault="00543B91">
      <w:pPr>
        <w:pStyle w:val="ConsPlusTitle"/>
        <w:jc w:val="center"/>
      </w:pPr>
      <w:r>
        <w:t>НОВЫЙ ПОРЯДОК СДЕЛОК С ЗЕМЕЛЬНЫМИ УЧАСТКАМИ, КОТОРЫЙ</w:t>
      </w:r>
    </w:p>
    <w:p w:rsidR="00543B91" w:rsidRDefault="00543B91">
      <w:pPr>
        <w:pStyle w:val="ConsPlusTitle"/>
        <w:jc w:val="center"/>
      </w:pPr>
      <w:r>
        <w:t>НАЧИНАЕТ ДЕЙСТВОВАТЬ С 1 МАРТА 2025 Г.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Normal"/>
        <w:ind w:firstLine="540"/>
        <w:jc w:val="both"/>
      </w:pPr>
      <w:r>
        <w:t xml:space="preserve">С 1 марта 2025 года вступает в силу Федеральный закон от 26.12.2024 N 487-ФЗ "О внесении изменений в отдельные законодательные акты Российской Федерации". Эксперты </w:t>
      </w:r>
      <w:proofErr w:type="spellStart"/>
      <w:r>
        <w:t>Росреестра</w:t>
      </w:r>
      <w:proofErr w:type="spellEnd"/>
      <w:r>
        <w:t xml:space="preserve"> разъяснили одну из ключевых новелл закона, которая предусматривает изменение порядка регистрации сделок с земельными участками.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Title"/>
        <w:ind w:firstLine="540"/>
        <w:jc w:val="both"/>
        <w:outlineLvl w:val="0"/>
      </w:pPr>
      <w:r>
        <w:t>В чем заключаются изменения?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Изменения внесены в </w:t>
      </w:r>
      <w:hyperlink r:id="rId5">
        <w:r>
          <w:rPr>
            <w:color w:val="0000FF"/>
          </w:rPr>
          <w:t>статью 26</w:t>
        </w:r>
      </w:hyperlink>
      <w:r>
        <w:t xml:space="preserve"> Закона о регистрации недвижимости. Речь идет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Применение новых положений не зависит ни от категории земельного участка, ни от вида его разрешенного использования.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Title"/>
        <w:ind w:firstLine="540"/>
        <w:jc w:val="both"/>
        <w:outlineLvl w:val="0"/>
      </w:pPr>
      <w:r>
        <w:t>Почему так важно установить границы земельного участка?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Как отмечают специалисты </w:t>
      </w:r>
      <w:proofErr w:type="spellStart"/>
      <w:r>
        <w:t>Росреестра</w:t>
      </w:r>
      <w:proofErr w:type="spellEnd"/>
      <w:r>
        <w:t>,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Также 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купленного участка.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Кроме того, встречаются случаи, когда строительство капитальных объектов осуществляется без понимания реального местоположения границ участка. Это приводит к тому, что построенный объект оказывается расположен на чужом земельном участке или на участке, не предоставленном или не предназначенном для строительства.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Также при отсутствии у земельного участка установленных границ и признаков хозяйственной деятельности органы государственной власти или муниципалитеты могут ошибочно принять его за свободную землю и незаконно ей распорядиться. Это создает прямую угрозу для защиты прав граждан и юридических лиц.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Таким образом, 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Title"/>
        <w:ind w:firstLine="540"/>
        <w:jc w:val="both"/>
        <w:outlineLvl w:val="0"/>
      </w:pPr>
      <w:r>
        <w:t>Как проверить, внесены ли в ЕГРН границы земельного участка?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Проверить наличие или отсутствие в ЕГРН сведений о границах земельного участка достаточно просто. Для этого можно открыть публичную кадастровую карту </w:t>
      </w:r>
      <w:proofErr w:type="spellStart"/>
      <w:r>
        <w:t>Росреестра</w:t>
      </w:r>
      <w:proofErr w:type="spellEnd"/>
      <w:r>
        <w:t>, которая доступна всем желающим бесплатно, и по кадастровому номеру или адресу найти интересующий участок.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Кроме того, сведения о местоположении границ участка указываются в выписке из ЕГРН, которую </w:t>
      </w:r>
      <w:r>
        <w:lastRenderedPageBreak/>
        <w:t xml:space="preserve">можно получить как в электронном, так и в бумажном виде. Это можно сделать с использованием Единого портала </w:t>
      </w:r>
      <w:proofErr w:type="spellStart"/>
      <w:r>
        <w:t>госуслуг</w:t>
      </w:r>
      <w:proofErr w:type="spellEnd"/>
      <w:r>
        <w:t xml:space="preserve"> или в МФЦ.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Title"/>
        <w:ind w:firstLine="540"/>
        <w:jc w:val="both"/>
        <w:outlineLvl w:val="0"/>
      </w:pPr>
      <w:r>
        <w:t>На каком этапе сделки возможно приостановление?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Как сообщают специалисты </w:t>
      </w:r>
      <w:proofErr w:type="spellStart"/>
      <w:r>
        <w:t>Росреестра</w:t>
      </w:r>
      <w:proofErr w:type="spellEnd"/>
      <w:r>
        <w:t>, документы для осуществления учетно-регистрационных действий будут приняты в установленном порядке. Однако если государственный регистратор обнаружит, что в ЕГРН отсутствуют сведения о границах земельных участков, в отношении которых эти действия должны быть выполнены, учетно-регистрационные действия будут приостановлены.</w:t>
      </w:r>
    </w:p>
    <w:p w:rsidR="00543B91" w:rsidRDefault="00543B91">
      <w:pPr>
        <w:pStyle w:val="ConsPlusNormal"/>
        <w:ind w:firstLine="540"/>
        <w:jc w:val="both"/>
      </w:pPr>
    </w:p>
    <w:p w:rsidR="00543B91" w:rsidRDefault="00543B91">
      <w:pPr>
        <w:pStyle w:val="ConsPlusTitle"/>
        <w:ind w:firstLine="540"/>
        <w:jc w:val="both"/>
        <w:outlineLvl w:val="0"/>
      </w:pPr>
      <w:r>
        <w:t>Как внести в ЕГРН границы земельного участка?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учета и межевого плана, которые правообладатель такого участка предоставляет в орган регистрации прав.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Межеванием занимаются кадастровые инженеры. Специалист выезжает на место и проводит необходимые замеры и расчеты. Если есть забор, то замеры проводят по нему. Если забора нет, лучше заранее обозначить углы участка колышками. Следующий этап - ознакомление с результатами замеров. Далее - процесс согласования границ с владельцами смежных участков.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 xml:space="preserve">При этом специалисты </w:t>
      </w:r>
      <w:proofErr w:type="spellStart"/>
      <w:r>
        <w:t>Росреестра</w:t>
      </w:r>
      <w:proofErr w:type="spellEnd"/>
      <w:r>
        <w:t xml:space="preserve"> отмечают, что при уточнении границ участка потребуется выполнение мероприятий по согласованию уточненного местоположения границ. Сроки этих мероприятий зависят от конкретной ситуации и не могут быть определены или указаны заранее.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543B91" w:rsidRDefault="00543B91">
      <w:pPr>
        <w:pStyle w:val="ConsPlusNormal"/>
        <w:spacing w:before="200"/>
        <w:ind w:firstLine="540"/>
        <w:jc w:val="both"/>
      </w:pPr>
      <w:r>
        <w:t>Действия правообладателей земельных участков, направленные на обеспечение внесения в ЕГРН сведений о границах земельных участков, урегулированы федеральным законодательством (</w:t>
      </w:r>
      <w:hyperlink r:id="rId6">
        <w:r>
          <w:rPr>
            <w:color w:val="0000FF"/>
          </w:rPr>
          <w:t>Закон</w:t>
        </w:r>
      </w:hyperlink>
      <w:r>
        <w:t xml:space="preserve"> "О кадастровой деятельности", </w:t>
      </w:r>
      <w:hyperlink r:id="rId7">
        <w:r>
          <w:rPr>
            <w:color w:val="0000FF"/>
          </w:rPr>
          <w:t>Закон</w:t>
        </w:r>
      </w:hyperlink>
      <w:r>
        <w:t xml:space="preserve"> о регистрации недвижимости) и не являются новеллами законодательства.</w:t>
      </w:r>
    </w:p>
    <w:p w:rsidR="00543B91" w:rsidRDefault="00543B91">
      <w:pPr>
        <w:pStyle w:val="ConsPlusNormal"/>
        <w:jc w:val="both"/>
      </w:pPr>
    </w:p>
    <w:p w:rsidR="00543B91" w:rsidRDefault="00543B91">
      <w:pPr>
        <w:pStyle w:val="ConsPlusNormal"/>
        <w:jc w:val="both"/>
      </w:pPr>
    </w:p>
    <w:p w:rsidR="00543B91" w:rsidRDefault="00543B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CEB" w:rsidRDefault="00A81CEB"/>
    <w:sectPr w:rsidR="00A81CEB" w:rsidSect="000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91"/>
    <w:rsid w:val="004200F9"/>
    <w:rsid w:val="00543B91"/>
    <w:rsid w:val="007D212C"/>
    <w:rsid w:val="00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D212C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1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7D212C"/>
    <w:pPr>
      <w:keepNext/>
      <w:spacing w:line="360" w:lineRule="auto"/>
      <w:jc w:val="center"/>
      <w:outlineLvl w:val="1"/>
    </w:pPr>
    <w:rPr>
      <w:b/>
      <w:caps/>
      <w:sz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21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D212C"/>
    <w:pPr>
      <w:keepNext/>
      <w:jc w:val="center"/>
      <w:outlineLvl w:val="4"/>
    </w:pPr>
    <w:rPr>
      <w:b/>
      <w:bCs/>
      <w:caps/>
      <w:sz w:val="1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D21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D21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D21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D21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21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7D212C"/>
    <w:rPr>
      <w:rFonts w:ascii="Times New Roman" w:hAnsi="Times New Roman"/>
      <w:b/>
      <w:caps/>
      <w:sz w:val="24"/>
    </w:rPr>
  </w:style>
  <w:style w:type="character" w:customStyle="1" w:styleId="30">
    <w:name w:val="Заголовок 3 Знак"/>
    <w:link w:val="3"/>
    <w:uiPriority w:val="9"/>
    <w:rsid w:val="007D212C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D212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7D212C"/>
    <w:rPr>
      <w:rFonts w:ascii="Times New Roman" w:hAnsi="Times New Roman"/>
      <w:b/>
      <w:bCs/>
      <w:caps/>
      <w:sz w:val="18"/>
    </w:rPr>
  </w:style>
  <w:style w:type="character" w:customStyle="1" w:styleId="60">
    <w:name w:val="Заголовок 6 Знак"/>
    <w:link w:val="6"/>
    <w:uiPriority w:val="9"/>
    <w:rsid w:val="007D21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D21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D21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D212C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D212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12C"/>
    <w:pPr>
      <w:spacing w:before="300" w:after="200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7D21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212C"/>
    <w:pPr>
      <w:spacing w:before="200" w:after="200"/>
    </w:pPr>
    <w:rPr>
      <w:rFonts w:ascii="Calibri" w:hAnsi="Calibri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7D212C"/>
    <w:rPr>
      <w:sz w:val="24"/>
      <w:szCs w:val="24"/>
    </w:rPr>
  </w:style>
  <w:style w:type="character" w:styleId="a8">
    <w:name w:val="Strong"/>
    <w:uiPriority w:val="22"/>
    <w:qFormat/>
    <w:rsid w:val="007D212C"/>
    <w:rPr>
      <w:b/>
      <w:bCs/>
    </w:rPr>
  </w:style>
  <w:style w:type="paragraph" w:styleId="a9">
    <w:name w:val="No Spacing"/>
    <w:uiPriority w:val="1"/>
    <w:qFormat/>
    <w:rsid w:val="007D212C"/>
  </w:style>
  <w:style w:type="paragraph" w:styleId="aa">
    <w:name w:val="List Paragraph"/>
    <w:basedOn w:val="a"/>
    <w:uiPriority w:val="34"/>
    <w:qFormat/>
    <w:rsid w:val="007D2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12C"/>
    <w:pPr>
      <w:ind w:left="720" w:right="720"/>
    </w:pPr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7D212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D21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7D212C"/>
    <w:rPr>
      <w:i/>
      <w:shd w:val="clear" w:color="auto" w:fill="F2F2F2"/>
    </w:rPr>
  </w:style>
  <w:style w:type="paragraph" w:customStyle="1" w:styleId="ConsPlusNormal">
    <w:name w:val="ConsPlusNormal"/>
    <w:rsid w:val="00543B91"/>
    <w:pPr>
      <w:widowControl w:val="0"/>
      <w:autoSpaceDE w:val="0"/>
      <w:autoSpaceDN w:val="0"/>
    </w:pPr>
    <w:rPr>
      <w:rFonts w:ascii="Times New Roman" w:eastAsiaTheme="minorEastAsia" w:hAnsi="Times New Roman"/>
      <w:szCs w:val="22"/>
      <w:lang w:eastAsia="ru-RU"/>
    </w:rPr>
  </w:style>
  <w:style w:type="paragraph" w:customStyle="1" w:styleId="ConsPlusTitle">
    <w:name w:val="ConsPlusTitle"/>
    <w:rsid w:val="00543B91"/>
    <w:pPr>
      <w:widowControl w:val="0"/>
      <w:autoSpaceDE w:val="0"/>
      <w:autoSpaceDN w:val="0"/>
    </w:pPr>
    <w:rPr>
      <w:rFonts w:ascii="Times New Roman" w:eastAsiaTheme="minorEastAsia" w:hAnsi="Times New Roman"/>
      <w:b/>
      <w:szCs w:val="22"/>
      <w:lang w:eastAsia="ru-RU"/>
    </w:rPr>
  </w:style>
  <w:style w:type="paragraph" w:customStyle="1" w:styleId="ConsPlusTitlePage">
    <w:name w:val="ConsPlusTitlePage"/>
    <w:rsid w:val="00543B9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D212C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1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7D212C"/>
    <w:pPr>
      <w:keepNext/>
      <w:spacing w:line="360" w:lineRule="auto"/>
      <w:jc w:val="center"/>
      <w:outlineLvl w:val="1"/>
    </w:pPr>
    <w:rPr>
      <w:b/>
      <w:caps/>
      <w:sz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21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D212C"/>
    <w:pPr>
      <w:keepNext/>
      <w:jc w:val="center"/>
      <w:outlineLvl w:val="4"/>
    </w:pPr>
    <w:rPr>
      <w:b/>
      <w:bCs/>
      <w:caps/>
      <w:sz w:val="1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D21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D21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D21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D21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21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7D212C"/>
    <w:rPr>
      <w:rFonts w:ascii="Times New Roman" w:hAnsi="Times New Roman"/>
      <w:b/>
      <w:caps/>
      <w:sz w:val="24"/>
    </w:rPr>
  </w:style>
  <w:style w:type="character" w:customStyle="1" w:styleId="30">
    <w:name w:val="Заголовок 3 Знак"/>
    <w:link w:val="3"/>
    <w:uiPriority w:val="9"/>
    <w:rsid w:val="007D212C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D212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7D212C"/>
    <w:rPr>
      <w:rFonts w:ascii="Times New Roman" w:hAnsi="Times New Roman"/>
      <w:b/>
      <w:bCs/>
      <w:caps/>
      <w:sz w:val="18"/>
    </w:rPr>
  </w:style>
  <w:style w:type="character" w:customStyle="1" w:styleId="60">
    <w:name w:val="Заголовок 6 Знак"/>
    <w:link w:val="6"/>
    <w:uiPriority w:val="9"/>
    <w:rsid w:val="007D21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D21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D21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D212C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D212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12C"/>
    <w:pPr>
      <w:spacing w:before="300" w:after="200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7D21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212C"/>
    <w:pPr>
      <w:spacing w:before="200" w:after="200"/>
    </w:pPr>
    <w:rPr>
      <w:rFonts w:ascii="Calibri" w:hAnsi="Calibri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7D212C"/>
    <w:rPr>
      <w:sz w:val="24"/>
      <w:szCs w:val="24"/>
    </w:rPr>
  </w:style>
  <w:style w:type="character" w:styleId="a8">
    <w:name w:val="Strong"/>
    <w:uiPriority w:val="22"/>
    <w:qFormat/>
    <w:rsid w:val="007D212C"/>
    <w:rPr>
      <w:b/>
      <w:bCs/>
    </w:rPr>
  </w:style>
  <w:style w:type="paragraph" w:styleId="a9">
    <w:name w:val="No Spacing"/>
    <w:uiPriority w:val="1"/>
    <w:qFormat/>
    <w:rsid w:val="007D212C"/>
  </w:style>
  <w:style w:type="paragraph" w:styleId="aa">
    <w:name w:val="List Paragraph"/>
    <w:basedOn w:val="a"/>
    <w:uiPriority w:val="34"/>
    <w:qFormat/>
    <w:rsid w:val="007D2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12C"/>
    <w:pPr>
      <w:ind w:left="720" w:right="720"/>
    </w:pPr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7D212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D21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7D212C"/>
    <w:rPr>
      <w:i/>
      <w:shd w:val="clear" w:color="auto" w:fill="F2F2F2"/>
    </w:rPr>
  </w:style>
  <w:style w:type="paragraph" w:customStyle="1" w:styleId="ConsPlusNormal">
    <w:name w:val="ConsPlusNormal"/>
    <w:rsid w:val="00543B91"/>
    <w:pPr>
      <w:widowControl w:val="0"/>
      <w:autoSpaceDE w:val="0"/>
      <w:autoSpaceDN w:val="0"/>
    </w:pPr>
    <w:rPr>
      <w:rFonts w:ascii="Times New Roman" w:eastAsiaTheme="minorEastAsia" w:hAnsi="Times New Roman"/>
      <w:szCs w:val="22"/>
      <w:lang w:eastAsia="ru-RU"/>
    </w:rPr>
  </w:style>
  <w:style w:type="paragraph" w:customStyle="1" w:styleId="ConsPlusTitle">
    <w:name w:val="ConsPlusTitle"/>
    <w:rsid w:val="00543B91"/>
    <w:pPr>
      <w:widowControl w:val="0"/>
      <w:autoSpaceDE w:val="0"/>
      <w:autoSpaceDN w:val="0"/>
    </w:pPr>
    <w:rPr>
      <w:rFonts w:ascii="Times New Roman" w:eastAsiaTheme="minorEastAsia" w:hAnsi="Times New Roman"/>
      <w:b/>
      <w:szCs w:val="22"/>
      <w:lang w:eastAsia="ru-RU"/>
    </w:rPr>
  </w:style>
  <w:style w:type="paragraph" w:customStyle="1" w:styleId="ConsPlusTitlePage">
    <w:name w:val="ConsPlusTitlePage"/>
    <w:rsid w:val="00543B9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69&amp;dst=1003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30" TargetMode="External"/><Relationship Id="rId5" Type="http://schemas.openxmlformats.org/officeDocument/2006/relationships/hyperlink" Target="https://login.consultant.ru/link/?req=doc&amp;base=LAW&amp;n=481369&amp;dst=14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Алексей Викторович</dc:creator>
  <cp:lastModifiedBy>Нагаев Алексей Викторович</cp:lastModifiedBy>
  <cp:revision>2</cp:revision>
  <dcterms:created xsi:type="dcterms:W3CDTF">2025-03-27T04:20:00Z</dcterms:created>
  <dcterms:modified xsi:type="dcterms:W3CDTF">2025-03-27T04:59:00Z</dcterms:modified>
</cp:coreProperties>
</file>